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AspenCh13 Supp 2025</w:t>
      </w:r>
    </w:p>
    <w:p w:rsidR="00000000" w:rsidDel="00000000" w:rsidP="00000000" w:rsidRDefault="00000000" w:rsidRPr="00000000" w14:paraId="00000002">
      <w:pPr>
        <w:rPr/>
      </w:pPr>
      <w:r w:rsidDel="00000000" w:rsidR="00000000" w:rsidRPr="00000000">
        <w:rPr>
          <w:rtl w:val="0"/>
        </w:rPr>
        <w:t xml:space="preserve">After the end of page 678, consider this article on well founded fear and the misguided use of the reasonable person standard:</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i w:val="1"/>
          <w:iCs w:val="1"/>
          <w:highlight w:val="white"/>
          <w:rtl w:val="0"/>
        </w:rPr>
        <w:t xml:space="preserve">Turn Asylum on its Head and Presume Eligibility</w:t>
      </w:r>
      <w:r w:rsidDel="00000000" w:rsidR="00000000" w:rsidRPr="00000000">
        <w:rPr>
          <w:rFonts w:ascii="Times New Roman" w:cs="Times New Roman" w:eastAsia="Times New Roman" w:hAnsi="Times New Roman"/>
          <w:highlight w:val="white"/>
          <w:rtl w:val="0"/>
        </w:rPr>
        <w:t xml:space="preserve">, by Bill Ong Hing, 57 USF </w:t>
      </w:r>
      <w:r w:rsidDel="00000000" w:rsidR="00000000" w:rsidRPr="00000000">
        <w:rPr>
          <w:rFonts w:ascii="Times New Roman" w:cs="Times New Roman" w:eastAsia="Times New Roman" w:hAnsi="Times New Roman"/>
          <w:smallCaps w:val="1"/>
          <w:highlight w:val="white"/>
          <w:rtl w:val="0"/>
        </w:rPr>
        <w:t xml:space="preserve">L.Rev</w:t>
      </w:r>
      <w:r w:rsidDel="00000000" w:rsidR="00000000" w:rsidRPr="00000000">
        <w:rPr>
          <w:rFonts w:ascii="Times New Roman" w:cs="Times New Roman" w:eastAsia="Times New Roman" w:hAnsi="Times New Roman"/>
          <w:highlight w:val="white"/>
          <w:rtl w:val="0"/>
        </w:rPr>
        <w:t xml:space="preserve">. 479 (2022)</w:t>
      </w:r>
    </w:p>
    <w:p w:rsidR="00000000" w:rsidDel="00000000" w:rsidP="00000000" w:rsidRDefault="00000000" w:rsidRPr="00000000" w14:paraId="00000005">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Introduction </w:t>
      </w:r>
    </w:p>
    <w:p w:rsidR="00000000" w:rsidDel="00000000" w:rsidP="00000000" w:rsidRDefault="00000000" w:rsidRPr="00000000" w14:paraId="00000006">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THIRTY-FIVE YEARS AGO, I was fortunate to be part of the litigation team that won big before the U.S. Supreme Court in Immigration and Naturalization Service v. Cardoza-Fonseca, the case that established that asylum applicants “need not prove that it is more likely than not” that they will be persecuted in their home countries in order to prevail. The case interpreted the 1980 Refugee Act’s requirement that asylum applicants had to establish a “well-founded fear” of persecution to mean that likelihood of persecution does not have to be demonstrated by a preponderance of the evidence.5 In fact, in interpreting the statute, Justice Stevens’ majority opinion added: “There is simply no room in the United Nations’ definition for concluding that because an applicant only has a 10% chance of being shot, tortured, or otherwise persecuted, that he or she has no ‘well-founded fear’ of the event happening.”</w:t>
      </w:r>
    </w:p>
    <w:p w:rsidR="00000000" w:rsidDel="00000000" w:rsidP="00000000" w:rsidRDefault="00000000" w:rsidRPr="00000000" w14:paraId="00000007">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My co-counsel and I were thrilled with that language and overjoyed at the outcome. We felt that the decision made sense given the humanitarian purposes of asylum law. It was consistent with the intent behind the 1980 Refugee Act as expressed by its chief sponsor, Senator Ted Kennedy: that the Act would “ensure greater equity in our treatment of all refugees” and give “statutory meaning to our national commitment to human rights and humanitarian concerns.” Today, the Cardoza-Fonseca case is often cited by the federal courts, immigration judges, and immigration attorneys. The “10%” language is relied upon by immigration attorneys to argue that their clients should be granted asylum, and by some immigration judges who grant asylum even when the evidence isn’t overwhelming. To me and many others, the implication of the “10%” language is that strong evidence of likely persecution is not required, and that applicants should be given the benefit of the doubt. </w:t>
      </w:r>
    </w:p>
    <w:p w:rsidR="00000000" w:rsidDel="00000000" w:rsidP="00000000" w:rsidRDefault="00000000" w:rsidRPr="00000000" w14:paraId="00000008">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 think the Cardoza-Fonseca case has definitely made a  positive difference in the lives of thousands of asylum seekers. But I also don’t kid myself. Unsympathetic asylum officers, immigration judges, federal courts, and enforcement officials have thwarted the generous humanitarian intent of the asylum law and undermined the Cardoza-Fonseca case. They hide behind reasoning related to such things as credibility issues, lack of individualized evidence, protection against victimization by gangs or domestic partners not being the intent of asylum, or that the applicant’s particular social group is too nebulous or broad. Much of the negativity toward today’s asylum applicants from Latin America, Haiti, or Africa is simply based on institutionalized racism. </w:t>
      </w:r>
    </w:p>
    <w:p w:rsidR="00000000" w:rsidDel="00000000" w:rsidP="00000000" w:rsidRDefault="00000000" w:rsidRPr="00000000" w14:paraId="00000009">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Consider the data compiled by the Transactional Records Access Clearinghouse (“TRAC”) on asylum approval rates among immigration judges across the country from 2016 to 2021. In the Atlanta Immigration Court, for example, none of the immigration judges has an asylum approval rate greater than 8.7%.  In fact, Immigration Judge Earle Wilson has a ninety-eight-percent denial rate. In Baltimore, Judge Denise Slavin approves asylum applications at a rate close to ninety percent, but another judge, Phillip Williams, approves less than a third of his asylum cases. When my co-counsel in Cardoza-Fonseca, Dana Marks, was an immigration judge in San Francisco, her approval rate was ninety-one percent,20 but two other San Francisco judges, Nathan Aina and Anthony Murry, approved only 4.6% and 4.9%, respectively. Perhaps even more worrisome today are Judge Robert Hough in El Paso and Judge Kristin Piepmeier in Los Angeles, with 0.8% and 0.0% approval rates, respectively.  I sure would be concerned for any applicant appearing before one of them.</w:t>
      </w:r>
    </w:p>
    <w:p w:rsidR="00000000" w:rsidDel="00000000" w:rsidP="00000000" w:rsidRDefault="00000000" w:rsidRPr="00000000" w14:paraId="0000000A">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In other essays, I’ve criticized the approach that immigration judges use to determine applicant credibility,  and I have pointed to the problematic cynicism and burnout of asylum officers. I have also cited the political and racial bias against classes of asylum applicants—some exposed by federal courts. But in this Article, I focus on one technical approach to the wellfounded fear of persecution standard that should be corrected: the “reasonable person” approach. Part I argues that the reasonable person approach is not reasonable. Part II argues that this standard should be replaced with a “reasonable possibility” approach and a presumption of eligibility for asylum.</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Why the “Reasonable Person” Approach to Asylum Is Not Reasonable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 forthcoming book, I will argue that the entire U.S. immigration system should be abolished. In this Article, I focus on why the asylum portion of that system needs to be approached from a completely new perspective. Applicants who face a reasonable possibility of persecution are being denied asylum today due to restrictive legal analyses, political pressures, and racism.  We need to approach asylum cases using a different framework. I believe asylum adjudicators should use this mindset: I may not think that the applicant will be persecuted for sure, but that’s fine because I don’t have to be sure. I don’t even have to be persuaded that there is a high likelihood the applicant will be persecuted. All I have to believe is that there is a reasonable chance— even a ten-percent chance—that the person will be persecuted. If so, then my duty is to approve the application, even if there is a ninety-percent chance the person will not be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our legal papers to the Supreme Court in Cardoza-Fonseca, the legal team urged the Court to recognize that the legislative history of the 1980 Refugee Act required increased flexibility in approaching asylum. Importantly, in reaching its “10% chance” of persecution standard, the Court relied on information that we provided from the United Nations High Commissioner on Refugees (“UNHCR”) and international scholars. The UNHCR’s handbook on refugees adds important insight to the question of how much should be demanded of asylum applicants. Consider this passage: </w:t>
      </w:r>
    </w:p>
    <w:p w:rsidR="00000000" w:rsidDel="00000000" w:rsidP="00000000" w:rsidRDefault="00000000" w:rsidRPr="00000000" w14:paraId="0000000E">
      <w:pPr>
        <w:ind w:left="72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the applicant has made a genuine effort to substantiate his story there may still be a lack of evidence for some of his statements. . . . [I]t is hardly possible for a refugee to “prove” every part of his case and, indeed, if this were a requirement the majority of refugees would not be recognized. It is therefore frequently necessary to give the applicant the benefit of the doubt. </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Given the risks of an erroneous decision in an asylum case, providing the applicant with the benefit of the doubt makes sense. After all, if you are going to make a mistake in an asylum case, you should prefer granting asylum to someone who might not be persecuted over denying asylum to someone who will be persecuted.</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After the Cardoza-Fonseca decision, the Board of Immigration Appeals (“BIA”) acknowledged the low burden of proof for asylum. But the BIA created its own language: “[A]n applicant for asylum has established a wellfounded fear if he shows that a reasonable person in his circumstances would fear persecution.” Any language the BIA adopts is important, because it establishes precedent that immigration judges follow. </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BIA’s reasonable person standard may have appeal, but it does not instruct immigration judges to give the benefit of the doubt to an applicant, and it falls well short of the “10% chance” of persecution standard. The Supreme Court did not precisely define “well-founded fear,” but the Court reasoned that sufficient fear could be present in a situation where there was a tenpercent chance of being persecuted. I surmise that the BIA came up with its formulation because the Court in Cardoza-Fonseca wrote that a “reasonable possibility of persecution” should be sufficient, and the BIA somehow equated “reasonable possibility” with “reasonable person.” But those phrases are not equivalents. In my view, a “reasonable possibility of persecution” is more generous than requiring that a reasonable person fears persecution under the circumstances. The Court told us that a ten-percent chance of persecution constitutes a reasonable possibility of persecution. Thus, a reasonable person might not fear persecution if there is only a ten-percent chance of persecution, but asylum should still be granted because there is a reasonable possibility of persecution. Consider this example: If there is only a ten-percent chance of winning something, a reasonable person probably might not take that chance, but there is still a reasonable possibility of winning. That is why the reasonable person standard doesn’t make sense in the asylum context given the Court’s lesson that a ten-percent chance of persecution constitutes a reasonable possibility of persecution and is sufficient to establish a wellfounded fear, which the Court referenced in its decision. </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II. A Presumption of Eligibility </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can asylum adjudicators reject the reasonable person approach and apply a reasonable possibility approach where a ten-percent chance of persecution is sufficient to establish a well-founded fear? One way is to analogize asylum adjudication to criminal law. In a criminal case, the judge instructs the jury that the defendant should be convicted only if guilt has been established “beyond a reasonable doubt.”35 Thus, if a juror thinks that the defendant probably committed the crime, but still has a reasonable doubt, then that juror should vote to acquit. There is good reason for that approach in the criminal justice system where the person’s liberty is at stake. Society would rather let a guilty person go free than to jail an innocent person by mistake—we err on the side of freedom rather than imprisonment in criminal matters.</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 would make the same argument in the asylum arena. We should err on the side of granting asylum rather than denying it to someone who has a reasonable possibility of being persecuted, because persecution may lead to an unacceptable loss of freedom for the asylum seeker just as an innocent person jailed represents an unacceptable loss of freedom in the criminal arena. If we are going to make a mistake, we should grant asylum to someone who actually might not be persecuted, rather than deport someone who will be persecuted. “Beyond a reasonable doubt” thus equates with a “well-founded fear,” which is a reasonable possibility and warrants being given the benefit of the doubt. This approach provides the right frame of mind to the ten-percent chance of persecution standard. The humanitarian approach is the “benefit of the doubt” approach.</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Erring on the side of granting asylum means giving the benefit of the doubt across the board. This means that the benefit of the doubt should be given to applicants when it comes to the applicant’s credibility—even when there are inconsistencies. It means giving the benefit of the doubt when the judge is not sure if a particular social group will be targeted or if it’s not clear if the authorities are unable or unwilling to protect that applicant.</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Another policy from the criminal justice system should also be used in the asylum arena. In criminal law, the concept of “innocent until proven guilty” or “presumed innocent” is fundamental.36 In the asylum arena, we need a corollary presumption of eligibility. Asylum adjudication involves life or death decisions. The stakes are so high that once a person applies for asylum, they should be presumed eligible. Thus, borrowing from criminal procedure, once the application is filed, the applicant should be presumed eligible under the law and should be granted asylum unless the government can prove beyond a reasonable doubt that the applicant will not be persecuted.</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Conclusion </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Honestly, I am skeptical that all immigration judges and federal courts will voluntarily take the benefit of the doubt and presumed eligible approach I advocate. Substantive and procedural changes to asylum adjudication must be established by Congress. In fact, a new asylum court system needs to be institutionalized in a form free of political influence and given better tools to achieve just results. We need a system that would cease the detention of asylum applicants, provide applicants with free counsel, provide applicants with mental health services, and train decision makers on a humanitarian and trauma-informed approach to adjudication. To achieve these goals, I call for the abolishment of the current U.S. immigration system and the creation of a new system for granting asylum based on the presumption of eligibility. This presumption would give the benefit of the doubt to each asylum applicant that a well-founded fear of persecution exists in their lives, and bring us closer to the Cardoza-Fonseca standard that the Court endorsed over three decades ago.</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Questions: </w:t>
      </w:r>
    </w:p>
    <w:p w:rsidR="00000000" w:rsidDel="00000000" w:rsidP="00000000" w:rsidRDefault="00000000" w:rsidRPr="00000000" w14:paraId="0000001B">
      <w:pPr>
        <w:numPr>
          <w:ilvl w:val="0"/>
          <w:numId w:val="1"/>
        </w:numPr>
        <w:spacing w:after="0" w:afterAutospacing="0"/>
        <w:ind w:left="720" w:hanging="360"/>
        <w:rPr>
          <w:u w:val="none"/>
        </w:rPr>
      </w:pPr>
      <w:r w:rsidDel="00000000" w:rsidR="00000000" w:rsidRPr="00000000">
        <w:rPr>
          <w:rtl w:val="0"/>
        </w:rPr>
        <w:t xml:space="preserve">Does Professor Hing’s critique of the use of the “reasonable person” standard in asylum law make sense?</w:t>
      </w:r>
    </w:p>
    <w:p w:rsidR="00000000" w:rsidDel="00000000" w:rsidP="00000000" w:rsidRDefault="00000000" w:rsidRPr="00000000" w14:paraId="0000001C">
      <w:pPr>
        <w:numPr>
          <w:ilvl w:val="0"/>
          <w:numId w:val="1"/>
        </w:numPr>
        <w:ind w:left="720" w:hanging="360"/>
        <w:rPr>
          <w:u w:val="none"/>
        </w:rPr>
      </w:pPr>
      <w:r w:rsidDel="00000000" w:rsidR="00000000" w:rsidRPr="00000000">
        <w:rPr>
          <w:rtl w:val="0"/>
        </w:rPr>
        <w:t xml:space="preserve">Do you agree that asylum applicants should be presumed eligible?</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Humanitarian Asylum</w:t>
      </w:r>
    </w:p>
    <w:p w:rsidR="00000000" w:rsidDel="00000000" w:rsidP="00000000" w:rsidRDefault="00000000" w:rsidRPr="00000000" w14:paraId="0000001F">
      <w:pPr>
        <w:rPr/>
      </w:pPr>
      <w:r w:rsidDel="00000000" w:rsidR="00000000" w:rsidRPr="00000000">
        <w:rPr>
          <w:rtl w:val="0"/>
        </w:rPr>
        <w:t xml:space="preserve">On page 689 of the text, prior to part III on Statutory Requirements for Asylum, consider the following related to humanitarian asylum.</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Hanna v. Kessler</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506 F.3d 933 (9th Cir. 2007), Hanna was a native and citizen of Iraq. He was born in Baghdad and is a Chaldean Catholic. Hanna fled Iraq on September 27, 1997 on account of three incidents described below. In January 1992, Ba’ath party officials arrested and detained Hanna for over a month. Hanna’s captors tortured him while he was jailed. Hanna was accused of being anti-government and of belonging to the Assyrian Democratic Party, in part because he was taking extra math classes from a Christian teacher. Government officials also accused Hanna of making and distributing anti-government fliers with his math teacher.</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ab/>
        <w:t xml:space="preserve">In March 1994, local police falsely accused Hanna of selling “expired” goods, laundering money, and using counterfeit money. He was jailed for 15 days. Hanna stated that guards beat him and blindfolded him during his detention.</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ab/>
        <w:t xml:space="preserve">In 1997, members of the Student Affairs Bureau and Party Organization Committee at Hanna’s school tried to force Hanna to join the Fedayeen Saddam, a paramilitary organization loyal to Saddam Hussein. Hanna testified that the group told him if he did not join the Fedayeen Saddam he would be accused of sabotaging the government and he would not be allowed to graduate from university. Hanna told the recruiters that he did not want to join the organization because doing so went against the principles of his Christian faith. Although he tried to refuse to join the group, the members told him that he had two days to change his mind.</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ab/>
        <w:t xml:space="preserve">Hanna was afraid for his life after his interaction with the recruiters. Hanna told his father about the incident, and his father advised him to flee Baghdad before the recruiters were due to return. That night Hanna took a bus to Batnaya in northern Iraq. While he was in Batnaya, Ba’ath party members forced their way into the family home looking for Hanna. The inquisitors hit Hanna’s brother in the eye with a gun. A bullet fired at the floor by the intruders ricocheted and hit Hanna’s father in the leg, breaking a bone and putting him in the hospital for a month. One of the officers spat in the face of Hanna’s mother. The Ba’ath party officials ransacked the house looking for Hanna and left after threatening the family members that harsher consequences would follow if they did not produce Hanna. Hanna’s father wrote him a letter telling him of the incident at the house. The letter advised Hanna that he would likely face execution if he did not flee the country. Hanna then fled Iraq, traveling through Turkey, Greece, Belgium, France, and Mexico before eventually reaching the United States. The BIA refused to grant relief, however, the Ninth Circuit remanded, advising the BIA to reconsider the asylum denial. Furthermore, the Ninth Circuit considered humanitarian asylum:</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0"/>
        </w:tabs>
        <w:spacing w:after="120" w:before="120" w:line="278.00000000000006" w:lineRule="auto"/>
        <w:ind w:left="9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The BIA may grant humanitarian asylum to a victim of past persecution, even where the government has rebutted the applicant’s fear of future persecution, if the applicant establishes one of two things. First, the asylum seeker can show “compelling reasons for being unwilling or unable to return to the country [that he fled] arising out of the severity of the past persecution.” 8 C.F.R. §1208.13(b)(1)(iii)(A). Or, under the second prong of the humanitarian asylum analysis, the asylum seeker can show “a reasonable possibility that he or she may suffer other serious harm upon removal to that country.” 8 C.F.R. §1208.13(b)(1)(iii)(B); see also Belishta v. Ashcroft, 378 F.3d 1078, 1081 (9th Cir.2004).</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900"/>
        </w:tabs>
        <w:spacing w:after="120" w:before="120" w:line="278.00000000000006" w:lineRule="auto"/>
        <w:ind w:left="6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t xml:space="preserve">The BIA held that Hanna “failed to establish that any persecution he may have suffered compels a grant of asylum as a matter of humanitarian concerns.” Though we agree that the severity of Hanna’s past persecution is not sufficient to qualify for humanitarian asylum under the first prong, the BIA seems to have ignored the second prong of the humanitarian asylum analysis. This prong, as described above, requires only a reasonable possibility that Hanna may suffer serious harm upon removal. Because it appears that Hanna could have qualified for humanitarian asylum based on the likely future harm he would suffer as a Christian upon his return to Iraq and because the BIA does not seem to have considered this prong, we remand to the BIA to consider whether there exists a “reasonable possibility” that Hanna “may suffer other serious harm upon removal” to Iraq.</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Asylum Cooperative Agreements. On page 692 of the text, prior to the discussion of the One-year Deadline, consider this information.</w:t>
      </w:r>
    </w:p>
    <w:p w:rsidR="00000000" w:rsidDel="00000000" w:rsidP="00000000" w:rsidRDefault="00000000" w:rsidRPr="00000000" w14:paraId="00000028">
      <w:pPr>
        <w:rPr/>
      </w:pPr>
      <w:r w:rsidDel="00000000" w:rsidR="00000000" w:rsidRPr="00000000">
        <w:rPr>
          <w:rtl w:val="0"/>
        </w:rPr>
        <w:t xml:space="preserve">The second Trump administration has obstructed asylum applicants by signing Asylum Cooperative Agreements (ACAs) with countries like Honduras, Paraguay, Belize, and Uganda, under which asylum applicants can be denied asylum in the United States and removed to those countries to seek asylum. The authority of the government to make motions to allow immigration judges and pretermit and deny the asylum application was upheld by the BIA in </w:t>
      </w:r>
      <w:r w:rsidDel="00000000" w:rsidR="00000000" w:rsidRPr="00000000">
        <w:rPr>
          <w:i w:val="1"/>
          <w:iCs w:val="1"/>
          <w:rtl w:val="0"/>
        </w:rPr>
        <w:t xml:space="preserve">Matter of C-I-G-M_ &amp; L-V-S-G-,</w:t>
      </w:r>
      <w:r w:rsidDel="00000000" w:rsidR="00000000" w:rsidRPr="00000000">
        <w:rPr>
          <w:rtl w:val="0"/>
        </w:rPr>
        <w:t xml:space="preserve"> 29 I&amp;N Dec. 291 (BIA 2025). An applicant who fears removal to the third country has the burden to establish by a preponderance of the evidence that they will be persecuted or tortured in the third country.</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One-year deadline. On page 693, after the carryover paragraph, consider the following:</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 class action on behalf of applicants who missed the deadline because they were unaware of the deadline has been helpful.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Mendez Rojas v. Johnson</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305 F.Supp. 3d 1176 (W.D. Wash. 2018), the court held that the government’s failure to provide adequate notice of the one-year deadline constitutes a violation of the immigration statute, the Administrative Procedure Act (APA), and class members’ due process rights under the Fifth Amendment. In addition, the court held that the government’s failure to provide a uniform mechanism through which class members can timely file their asylum applications also violates the immigration statute and the APA. The court ordered that the government adopt a notice of the one-year filing deadline and provide this notice to all current and future class members. The government appealed the decision, but a settlement was reached and approved by the court on November 4, 2020.</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Pursuant to the Mendez-Rojas settlement agreement, DHS and EOIR will recognize as timely filed any asylum application from a class member that is filed on or before March 31, 2022 in two classes.</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12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r>
      <w:r w:rsidDel="00000000" w:rsidR="00000000" w:rsidRPr="00000000">
        <w:rPr>
          <w:rFonts w:ascii="Palatino" w:cs="Palatino" w:eastAsia="Palatino" w:hAnsi="Palatino"/>
          <w:b w:val="1"/>
          <w:bCs w:val="1"/>
          <w:i w:val="0"/>
          <w:iCs w:val="0"/>
          <w:smallCaps w:val="0"/>
          <w:strike w:val="0"/>
          <w:color w:val="000000"/>
          <w:sz w:val="21"/>
          <w:szCs w:val="21"/>
          <w:u w:val="none"/>
          <w:shd w:fill="auto" w:val="clear"/>
          <w:vertAlign w:val="baseline"/>
          <w:rtl w:val="0"/>
        </w:rPr>
        <w:t xml:space="preserve">Class 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Asylum seekers who have passed a credible fear interview: All individuals who were encountered by DHS upon arrival or within 14 days of unlawful entry; and were released by DHS after they have been found to have a credible fear of persecution or torture and did not receive individualized notice of the one-year deadline to file an asylum application.</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780"/>
        </w:tabs>
        <w:spacing w:after="0" w:before="0" w:line="278.00000000000006" w:lineRule="auto"/>
        <w:ind w:left="9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a.</w:t>
        <w:tab/>
        <w:t xml:space="preserve">Subclass AI: All individuals in Class A who are not in removal proceedings and who either (a) have not yet applied for asylum or (b) applied for asylum after one year of their last arrival.</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780"/>
        </w:tabs>
        <w:spacing w:after="0" w:before="0" w:line="278.00000000000006" w:lineRule="auto"/>
        <w:ind w:left="9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b.</w:t>
        <w:tab/>
        <w:t xml:space="preserve">Subclass AII: All individuals in Class A who are in removal proceedings and who either (a) have not yet applied for asylum or (b) applied for asylum after one year of their last arrival.</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r>
      <w:r w:rsidDel="00000000" w:rsidR="00000000" w:rsidRPr="00000000">
        <w:rPr>
          <w:rFonts w:ascii="Palatino" w:cs="Palatino" w:eastAsia="Palatino" w:hAnsi="Palatino"/>
          <w:b w:val="1"/>
          <w:bCs w:val="1"/>
          <w:i w:val="0"/>
          <w:iCs w:val="0"/>
          <w:smallCaps w:val="0"/>
          <w:strike w:val="0"/>
          <w:color w:val="000000"/>
          <w:sz w:val="21"/>
          <w:szCs w:val="21"/>
          <w:u w:val="none"/>
          <w:shd w:fill="auto" w:val="clear"/>
          <w:vertAlign w:val="baseline"/>
          <w:rtl w:val="0"/>
        </w:rPr>
        <w:t xml:space="preserve">Class B</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Asylum seekers released from DHS custody without having a credible fear interview: All individuals who were encountered by DHS upon arrival or within 14 days of unlawful entry; expressed a fear of return to their country of origin; were released by DHS upon issuance of an NTA; and did not receive individualized notice of the one-year deadline to file an asylum application.</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780"/>
        </w:tabs>
        <w:spacing w:after="0" w:before="0" w:line="278.00000000000006" w:lineRule="auto"/>
        <w:ind w:left="9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a.</w:t>
        <w:tab/>
        <w:t xml:space="preserve">Subclass BI: All individuals in Class B who are not in removal proceedings and who either (a) have not yet applied for asylum or (b) applied for asylum after one year of their last arrival.</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780"/>
        </w:tabs>
        <w:spacing w:after="0" w:before="0" w:line="278.00000000000006" w:lineRule="auto"/>
        <w:ind w:left="9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b.</w:t>
        <w:tab/>
        <w:t xml:space="preserve">Subclass BII: All individuals in Class B who are in removal proceedings and who either (a) have not yet applied for asylum or (b) applied for asylum after one year of their last arrival./</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Particular Social Group. On page 700, at the end of note 1, add this discussion:</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Consider this twist on Central American social group claims. After Central Americans settled in the United States during and following the civil wars of the 1980s in Central America, some young men from those communities were deported due to gang activity in southern California and other parts of the United States. Many credit those deportees with extending their U.S. gang affiliations to Central America and starting gangs in El Salvador and Guatemala.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Pr>
        <w:footnoteReference w:customMarkFollows="0" w:id="0"/>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Ironically, this has given rise to a different type of social group claim involving young males.</w:t>
      </w:r>
    </w:p>
    <w:p w:rsidR="00000000" w:rsidDel="00000000" w:rsidP="00000000" w:rsidRDefault="00000000" w:rsidRPr="00000000" w14:paraId="00000036">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Ramos v. Holder</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589 F.3d 426 (7th Cir. 2009)</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1"/>
          <w:strike w:val="0"/>
          <w:color w:val="000000"/>
          <w:sz w:val="21"/>
          <w:szCs w:val="21"/>
          <w:u w:val="none"/>
          <w:shd w:fill="auto" w:val="clear"/>
          <w:vertAlign w:val="baseline"/>
          <w:rtl w:val="0"/>
        </w:rPr>
        <w:t xml:space="preserve">Posner</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Circuit Judge.</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Board of Immigration Appeals denied Nelson Alejandro Benitez Ramos’s application for withholding of removal, a remedy that is similar to asylum (the deadline for applying for which Ramos had missed) but that requires the applicant to establish a higher probability of persecution should he be returned to his native country. The ground of the denial was that Ramos is not a member of “a particular social group.” Persecution on the basis of membership in such a group is, along with persecution on the basis of “race, religion, nationality, . . . or political opinion,” a ground for granting asylum or withholding of removal. 8 U.S.C. §§1101(a)(42)(A), 1158(b)(1), 1231(b)(3). There is no statutory definition of “particular social group,” but the Board has sensibly defined it as a group whose members share “common characteristics that members of the group either cannot change, or should not be required to change because such characteristics are fundamental to their individual identities.”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In re Kasinga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21 I. &amp; N. Dec. 357, 366 (BIA 1996); see also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Lwin v. INS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144 F.3d 505, 511-12 (7th Cir. 1998);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In re Acosta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19 I. &amp; N. Dec. 211, 233-34 (BIA 1985),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overruled on other grounds by</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In re Mogharrabi</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19 I. &amp; N. Dec. 439 (BIA 1987).</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Ramos testified at his hearing before an immigration judge that he had been born and grew up in El Salvador and that in 1994, when he was 14, he had joined the Mara Salvatrucha, a violent street gang. . . . He remained a member of the gang until 2003, when he came to the United States. Shortly afterward, having become a born-again Christian, he decided that if he returned to El Salvador he could not rejoin the gang without violating his Christian scruples and that the gang would kill him for his refusal to rejoin and the police would be helpless to protect him — “unable or unwilling to protect him against the private parties,” as we put it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Garcia v. Gonzales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500 F.3d 615, 618 (7th Cir. 2007).</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[I]f he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can’t</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resign, his situation is the same as that of a former gang member who faces persecution for having quit — the situation Ramos claims to be in. A gang is a group, and being a former member of a group is a characteristic impossible to change, except perhaps by rejoining the group. On this ground we held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Gatimi v. Holder</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supra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that a former member of a violent criminal Kenyan faction called the Mungiki was a member of a “particular social group,” namely former members of Mungiki.</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There may be categories so ill-defined that they cannot be regarded as groups — the “middle class,” for example. But this problem is taken care of by the external criterion — if a Stalin or a Pol Pot decides to exterminate the bourgeoisie of their country, this makes the bourgeoisie “a particular social group,” which it would not be in a society that didn’t think of middle-class people as having distinctive characteristics; it would be odd to describe the American middle class as “a particular social group.” Ramos was a member of a specific, well-recognized, indeed notorious gang, the former members of which do not constitute a “category . . . far too unspecific and amorphous to be called a social group.” It is neither unspecific nor amorphous. . .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can imagine the Board’s exercising its discretion to decide that a “refugee” (that is, a person eligible for asylum) whose claim for asylum is based on former membership in a criminal gang should not be granted asylum. The Board has discretion to deny asylum to eligible persons, . . . subject to judicial review for abuse of discretion. . . . But that was not the Board’s ground in this case, and it could not have been. Ramos is seeking not asylum but withholding of removal, and withholding of removal is mandatory if the applicant (unless he falls within the statutory exceptions, [ ] establishes that if expelled from the United States he is more likely than not to be persecuted for a reason recognized in the immigration law as a proper ground for asylum or for withholding of removal. The reason for the difference is that an asylum seeker need prove only a well-founded fear of persecution. The applicant for withholding of removal must prove that he will (more likely than not) be persecuted. His danger is greater, and the Board may not subject him to it if he meets the other criteria for withholding of removal.</w:t>
      </w:r>
    </w:p>
    <w:p w:rsidR="00000000" w:rsidDel="00000000" w:rsidP="00000000" w:rsidRDefault="00000000" w:rsidRPr="00000000" w14:paraId="00000041">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Ramos was a member of a violent criminal group for nine years. If he is found to have committed violent acts while a member of the gang (as apparently he did, although the evidence is not entirely clear), he may be barred from the relief he seeks for reasons unrelated to whether he is a member of a “particular social group”; for remember the bar for aliens who commit a serious nonpolitical crime. The Board must also determine whether Ramos is more likely than not to be persecuted if he is returned to El Salvador.</w:t>
      </w:r>
    </w:p>
    <w:p w:rsidR="00000000" w:rsidDel="00000000" w:rsidP="00000000" w:rsidRDefault="00000000" w:rsidRPr="00000000" w14:paraId="00000042">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r>
      <w:r w:rsidDel="00000000" w:rsidR="00000000" w:rsidRPr="00000000">
        <w:rPr>
          <w:rFonts w:ascii="Palatino" w:cs="Palatino" w:eastAsia="Palatino" w:hAnsi="Palatino"/>
          <w:sz w:val="21"/>
          <w:szCs w:val="21"/>
          <w:rtl w:val="0"/>
        </w:rPr>
        <w:t xml:space="preserve">1</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tab/>
        <w:t xml:space="preserve">How does the Seventh Circuit’s approach to determining social group differ from that of the Ninth Circuit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Sanchez-Trujillo</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r>
      <w:r w:rsidDel="00000000" w:rsidR="00000000" w:rsidRPr="00000000">
        <w:rPr>
          <w:rFonts w:ascii="Palatino" w:cs="Palatino" w:eastAsia="Palatino" w:hAnsi="Palatino"/>
          <w:sz w:val="21"/>
          <w:szCs w:val="21"/>
          <w:rtl w:val="0"/>
        </w:rPr>
        <w:t xml:space="preserve">2</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t>
        <w:tab/>
        <w:t xml:space="preserve">After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Ramos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former gang members can assert a social group claim within the Seventh Circuit. Outside the Seventh Circuit, “the shared characteristic of terrorist, criminal or persecutory activity or association, past or present, cannot form the basis of a particular social group.” And even within the Seventh Circuit, CIS warns that criminal activity while in a gang can give rise to several bars to asylum, e.g., conviction of a particularly serious crime.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See</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Joseph E. Langlois, Chief of Asylum Division of USCIS,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Memorandum</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(Mar. 2, 2010), http://www.uscis.gov/USCIS/Laws/Memoranda/2010/Asylum-Ramos-Div-2-mar-2010.pdf.</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60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Subsequently, a divided Fourth Circuit panel held that a PSG of former MS-13 members is defined with particularity.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Amaya v. Rosen</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986 F.3d 424 (4</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superscript"/>
          <w:rtl w:val="0"/>
        </w:rPr>
        <w:t xml:space="preserve">th</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Cir. 2021).</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Family PSG. On page 702, note 3, here is an extensive excerpt from the troubling</w:t>
      </w:r>
      <w:r w:rsidDel="00000000" w:rsidR="00000000" w:rsidRPr="00000000">
        <w:rPr>
          <w:i w:val="1"/>
          <w:iCs w:val="1"/>
          <w:rtl w:val="0"/>
        </w:rPr>
        <w:t xml:space="preserve"> Demiraj</w:t>
      </w:r>
      <w:r w:rsidDel="00000000" w:rsidR="00000000" w:rsidRPr="00000000">
        <w:rPr>
          <w:rtl w:val="0"/>
        </w:rPr>
        <w:t xml:space="preserve"> case.</w:t>
      </w:r>
    </w:p>
    <w:p w:rsidR="00000000" w:rsidDel="00000000" w:rsidP="00000000" w:rsidRDefault="00000000" w:rsidRPr="00000000" w14:paraId="0000004A">
      <w:pPr>
        <w:keepNext w:val="0"/>
        <w:keepLines w:val="0"/>
        <w:pageBreakBefore w:val="0"/>
        <w:widowControl w:val="0"/>
        <w:pBdr>
          <w:top w:color="a73439" w:space="28" w:sz="4" w:val="single"/>
          <w:left w:space="0" w:sz="0" w:val="nil"/>
          <w:bottom w:space="0" w:sz="0" w:val="nil"/>
          <w:right w:space="0" w:sz="0" w:val="nil"/>
          <w:between w:space="0" w:sz="0" w:val="nil"/>
        </w:pBdr>
        <w:shd w:fill="auto" w:val="clear"/>
        <w:tabs>
          <w:tab w:val="left" w:leader="none" w:pos="300"/>
        </w:tabs>
        <w:spacing w:after="0" w:before="480" w:line="278.00000000000006" w:lineRule="auto"/>
        <w:ind w:left="0" w:right="0" w:firstLine="0"/>
        <w:jc w:val="center"/>
        <w:rPr>
          <w:rFonts w:ascii="Palatino" w:cs="Palatino" w:eastAsia="Palatino" w:hAnsi="Palatino"/>
          <w:b w:val="0"/>
          <w:bCs w:val="0"/>
          <w:i w:val="1"/>
          <w:iCs w:val="1"/>
          <w:smallCaps w:val="0"/>
          <w:strike w:val="0"/>
          <w:color w:val="000000"/>
          <w:sz w:val="25"/>
          <w:szCs w:val="25"/>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5"/>
          <w:szCs w:val="25"/>
          <w:u w:val="none"/>
          <w:shd w:fill="auto" w:val="clear"/>
          <w:vertAlign w:val="baseline"/>
          <w:rtl w:val="0"/>
        </w:rPr>
        <w:t xml:space="preserve">Demiraj v. Holder</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80" w:before="0" w:line="278.00000000000006" w:lineRule="auto"/>
        <w:ind w:left="0" w:right="0" w:firstLine="0"/>
        <w:jc w:val="center"/>
        <w:rPr>
          <w:rFonts w:ascii="Open Sans" w:cs="Open Sans" w:eastAsia="Open Sans" w:hAnsi="Open Sans"/>
          <w:b w:val="0"/>
          <w:bCs w:val="0"/>
          <w:i w:val="0"/>
          <w:iCs w:val="0"/>
          <w:smallCaps w:val="0"/>
          <w:strike w:val="0"/>
          <w:color w:val="000000"/>
          <w:sz w:val="19"/>
          <w:szCs w:val="19"/>
          <w:u w:val="none"/>
          <w:shd w:fill="auto" w:val="clear"/>
          <w:vertAlign w:val="baseline"/>
        </w:rPr>
      </w:pPr>
      <w:r w:rsidDel="00000000" w:rsidR="00000000" w:rsidRPr="00000000">
        <w:rPr>
          <w:rFonts w:ascii="Open Sans" w:cs="Open Sans" w:eastAsia="Open Sans" w:hAnsi="Open Sans"/>
          <w:b w:val="0"/>
          <w:bCs w:val="0"/>
          <w:i w:val="0"/>
          <w:iCs w:val="0"/>
          <w:smallCaps w:val="0"/>
          <w:strike w:val="0"/>
          <w:color w:val="000000"/>
          <w:sz w:val="19"/>
          <w:szCs w:val="19"/>
          <w:u w:val="none"/>
          <w:shd w:fill="auto" w:val="clear"/>
          <w:vertAlign w:val="baseline"/>
          <w:rtl w:val="0"/>
        </w:rPr>
        <w:t xml:space="preserve">631 F.3d 194 (5th Cir. 2011)</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1"/>
          <w:strike w:val="0"/>
          <w:color w:val="000000"/>
          <w:sz w:val="21"/>
          <w:szCs w:val="21"/>
          <w:u w:val="none"/>
          <w:shd w:fill="auto" w:val="clear"/>
          <w:vertAlign w:val="baseline"/>
          <w:rtl w:val="0"/>
        </w:rPr>
        <w:t xml:space="preserve">Haynes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Circuit Judge:</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Rudina Demiraj and her son, Rediol Demiraj, petition for review of the decision of the Board of Immigration Appeals (“BIA”) denying their applications for asylum, withholding of removal, and protection under the Convention Against Torture. The petitioners, who are Albanian nationals, are the wife and son of Edmond Demiraj, a material witness in the United States’ prosecution of Bill Bedini. While conceding removability, the petitioners contend that they reasonably fear reprisal from Bedini and his associates if they are returned to Albania.</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While the petitioners have assembled competent record evidence of the risks they may face upon returning to Albania, we, like the Immigration Judge (“IJ”) and the BIA, nevertheless conclude that those concerns do not entitle them to the relief they seek under the Immigration and Nationality Act. We therefore DENY the petition for review.</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I. Facts &amp; Procedural History</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Rudina Demiraj and her minor son, Rediol, entered the United States without inspection in October 2000. Mrs. Demiraj timely filed an application for asylum, withholding of removal, and protection under article 3 of the United Nations Convention Against Torture and Other Cruel, Inhuman or Degrading Treatment or Punishment (“Convention Against Torture”), Dec. 10, 1984, S. Treaty Doc. No. 100-20, 1465 U.N.T.S. 85, 113. Mrs. Demiraj named Rediol as a derivative beneficiary of her application. In her application, filed on September 28, 2001, and refiled as corrected on November 19, 2001, Mrs. Demiraj asserted that she was entitled to the relief requested because of her and her family’s political involvement in opposing Albania’s former communist regime and current socialist party and consequent fear of reprisal and torture in Albania. On December 27, 2001, the Immigration and Naturalization Service issued Mrs. Demiraj and her son a notice to appear, charging her with removability; after a hearing before an IJ in 2002, Mrs. Demiraj and her son were denied all relief and ordered removed. Mrs. Demiraj appealed to the BIA, claiming that the court’s interpreter was ineffective; the BIA dismissed the appeal in October 2003.</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February 2004, the BIA allowed Mrs. Demiraj to reopen her case based on changed circumstances. After the IJ’s initial disposition of Mrs. Demiraj’s case, Mr. Demiraj was shot in Albania by Bill Bedini, an Albanian wanted in the United States for human smuggling. Mr. Demiraj had been identified by the United States as a material witness against Bedini, but Mr. Demiraj never actually testified against Bedini because Bedini fled to Albania. After Mr. Demiraj was deported to Albania, Bedini kidnaped, beat, and shot Mr. Demiraj because of his cooperation with the United States’ efforts to prosecute Bedini. After Mr. Demiraj recovered from the shooting, local police in Albania took his statement but intimated that they would not investigate the crime. Bedini threatened Mr. Demiraj again, and he fled to the United States. Mr. Demiraj was granted withholding of removal in a separate proceeding. During the same time period, two of Mr. Demiraj’s nieces were also kidnaped by Bedini and his associates and trafficked to Italy. After escaping, the nieces fled to the United States and were granted asylum.</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These new facts, along with evidence of the interfamilial “blood feud” culture in Albania, were presented to the IJ following the BIA’s order to reopen Mrs. Demiraj’s proceedings. The IJ credited all of the testimony presented by Mrs. Demiraj but found nevertheless that she was not entitled to any of the relief she sought. The IJ therefore ordered Mrs. Demiraj and her son deported to Albania. The BIA dismissed the appeal in November 2006, adopting and affirming the decision of the IJ. Mrs. Demiraj petitioned this court for review, but before we issued a decision, the Attorney General moved for voluntary remand to the BIA for reconsideration in light of the Supreme Court’s intervening decision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Gonzales v. Thomas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547 U.S. 183, 126 S. Ct. 1613, 164 L. Ed. 2d 358 (2006). We granted that motion and remanded. . .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On remand, the BIA applied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Thomas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but again dismissed the appeal in October 2008. Mrs. Demiraj filed a second petition for review with this court and moved to reconsider before the BIA, offering additional evidence that another of Mr. Demiraj’s nieces had been granted asylum in the United States after Bedini kidnaped her and told her she would “pay” for the actions of her “sisters and her uncle.” We stayed proceedings until the BIA denied the motion to reconsider in July 2009; Mrs. Demiraj also filed a third petition for review of the order denying reconsideration.</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III. Discussion</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Mrs. Demiraj and her son asserted three grounds for relief from removal before the IJ and the BIA: (1) asylum, (2) withholding of removal based on a probability of persecution, and (3) protection under the Convention Against Torture. The IJ and the BIA ruled that the petitioners were ineligible for any of the three forms of relief. Asylum and withholding of removal based on a probability of persecution are closely related, and the BIA found the petitioners statutorily ineligible for relief under both for the same reason; we therefore address those claims together.</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A. Asylum &amp; Withholding of Removal</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BIA found the petitioners ineligible for asylum or withholding of removal because, even crediting all of the petitioners’ evidence, Mrs. Demiraj and her son could not demonstrate that any persecution they might suffer in Albania was “on account of” their membership in the Demiraj family within the meaning of the statute and regulation. An alien who is otherwise subject to removal is eligible for discretionary asylum if the alien demonstrates that she is a “refugee” as defined under the Immigration and Nationality Act (“INA”). 8 U.S.C. §1158(b)(1)(A);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see also</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8 C.F.R. §1208.13(b). The statute in turn defines “refugee” in relevant part as a person who is unable or unwilling to return to her home country “because of persecution or a well-founded fear of persecution on account of . . . membership in a particular social group. . . .” 8 U.S.C. §1101(a)(42)(A). Similarly, an alien may obtain withholding of removal if she proves that her “life or freedom would be threatened in th[e] country [to which removal is ordered] because of the alien’s . . . membership in a particular social group. . . .” 8 U.S.C. §1231(b)(3)(A). The petitioners argue that they would be persecuted in Albania by Bedini “on account of” their membership in a particular social group, namely, the Demiraj family. The BIA, in its order after voluntary remand, agreed with the petitioners that the “Demiraj family” could constitute a “particular social group” within the meaning of the asylum and withholding of removal statutes, and the government does not dispute that conclusion.</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core of this case instead is the question of whether Mrs. Demiraj’s evidence showed that she reasonably feared persecution or likely would be persecuted “on account of” her family membership.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See Thuri v. Ashcroft</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380 F.3d 788, 792 (5th Cir. 2004). The IJ and the BIA concluded that the evidence did not establish this requisite connection between her family membership and the identified persecution by Bedini and his associates. The only dispute between the parties is whether the facts as found by the IJ constitute, as a matter of law, proof of persecution “on account of” Mrs. Demiraj’s membership in the Demiraj family or not.</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After considering the record and the case law, the BIA explained its conclusion thus:</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Nexus may be shown . . . where there is a desire [by the alleged or feared persecutor] to punish membership in the particular social group, [and] also where there is a desire [by the persecutor] to overcome what is deemed to be an offensive characteristic identifying the particular social group. The respondents here [viz., Mrs. Demiraj and her son] must identify some evidence, direct or circumstantial, that the assailants are motivated, at least in part, by a desire to punish or to overcome the family relationship to [Mrs. Demiraj]’s husband.</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ab/>
        <w:t xml:space="preserve">Here, the individuals involved were seeking revenge against [Mr. Demiraj] for his testimony, and seek to harm [him] by attacking the respondents. We do not ordinarily find that acts motivated solely by criminal intent, personal vendettas, or personal desires for revenge establish the required nexus. . . . On this record, although the respondents are members of a particular social group, we do not find they fear persecution on account of this membership. Rather, the problems they may face are on account of revenge the assailants are attempting to extract against [Mr. Demiraj].</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In re Demiraj</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Nos. A095 218 801 &amp; 802, slip op. at 2-3 (B.I.A. Oct. 14, 2008) (internal citations omitted).</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parties disagree about the meaning of “on account of.” We need not resolve that dispute here because, even assuming that the petitioners’ definition — “because of” — is the correct one, they cannot prevail. The crucial finding here is that the record discloses no evidence that Mrs. Demiraj would be targeted for her membership in the Demiraj family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as such.</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Rather, the evidence strongly suggests that Mrs. Demiraj, her son, and Mr. Demiraj’s nieces were targeted because they are people who are important to Mr. Demiraj — that is, because hurting them would hurt Mr. Demiraj. No one suggests that distant members of the Demiraj family have been systematically targeted as would be the case if, for example, a persecutor sought to terminate a line of dynastic succession. Nor does the record suggest that the fact of Mr. and Mrs. Demiraj’s marriage and formal inclusion in the Demiraj family matters to Bedini; that is, Mrs. Demiraj would not be any safer in Albania if she divorced Mr. Demiraj and renounced membership in the family, nor would she be any safer if she were Mr. Demiraj’s girlfriend of many years rather than his wife. The record here discloses a quintessentially personal motivation, not one based on a prohibited reason under the INA. Thus, the record in this case does not compel us to reject the BIA’s determination here. Mrs. Demiraj and her son are not entitled to asylum or withholding of removal.</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0"/>
          <w:bCs w:val="0"/>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2"/>
          <w:szCs w:val="22"/>
          <w:u w:val="none"/>
          <w:shd w:fill="auto" w:val="clear"/>
          <w:vertAlign w:val="baseline"/>
          <w:rtl w:val="0"/>
        </w:rPr>
        <w:t xml:space="preserve">B. Convention Against Torture</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United States’ implementation of the article 3 “non-refoulement” provision of the Convention Against Torture entitles an alien to withholding of removal if she can “establish that it is more likely than not that . . . she would be tortured if removed to the proposed country of removal.” 8 C.F.R. §1208.16(c)(2);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see also Tamara-Gomez v. Gonzales</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447 F.3d 343, 350 (5th Cir. 2006) (“To obtain relief under the Convention Against Torture, the alien need not demonstrate all of the elements of a persecution claim; instead he must show a likelihood of torture upon return to his homeland.”). The regulation defines “torture” as:</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any act by which severe pain or suffering, whether physical or mental, is intentionally inflicted on a person for such purposes as obtaining from him or her or a third person information or a confession, punishing him or her for an act he or she or a third person has committed or is suspected of having committed, or intimidating or coercing him or her or a third person, or for any reason based on discrimination of any kind, when such pain or suffering is inflicted by or at the instigation of or with the consent or acquiescence of a public official or other person acting in an official capacity.</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8 C.F.R. §1208.18(a)(1).</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In this case, the IJ found Mrs. Demiraj’s proof of “consent or acquiescence [by] a public official” lacking. A state actor only “acquiesces” in torture if “the public official, prior to the activity constituting torture, ha[s] awareness of such activity and thereafter breach[es] his or her legal responsibility to intervene to prevent such activity.” 8 C.F.R. §1208.18(a)(7);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see also Hakim v. Holder</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628 F.3d 151, 154-57, 2010 WL 5064379 (5th Cir. 2010) (holding that “‘acquiescence’ is satisfied by a government’s willful blindness of torturous activity”). We have thus held that “relief under the Convention Against Torture requires a two part analysis — first, is it more likely than not that the alien will be tortured upon return to his homeland; and second, is there sufficient state action involved in that torture.”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Tamara-Gomez</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447 F.3d at 350-51 (footnote omitted).</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BIA adopted the IJ’s opinion with respect to the Convention Against Torture and provided no independent analysis of that issue. The IJ concluded that Mrs. Demiraj had not demonstrated that she would more likely than not be tortured with the consent or acquiescence of the Albanian government. The IJ found that:</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600"/>
        </w:tabs>
        <w:spacing w:after="120" w:before="120" w:line="278.00000000000006" w:lineRule="auto"/>
        <w:ind w:left="300" w:right="300" w:firstLine="0"/>
        <w:jc w:val="both"/>
        <w:rPr>
          <w:rFonts w:ascii="Palatino" w:cs="Palatino" w:eastAsia="Palatino" w:hAnsi="Palatino"/>
          <w:b w:val="0"/>
          <w:bCs w:val="0"/>
          <w:i w:val="0"/>
          <w:iCs w:val="0"/>
          <w:smallCaps w:val="0"/>
          <w:strike w:val="0"/>
          <w:color w:val="000000"/>
          <w:sz w:val="19"/>
          <w:szCs w:val="19"/>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19"/>
          <w:szCs w:val="19"/>
          <w:u w:val="none"/>
          <w:shd w:fill="auto" w:val="clear"/>
          <w:vertAlign w:val="baseline"/>
          <w:rtl w:val="0"/>
        </w:rPr>
        <w:t xml:space="preserve">[a]lthough the police in Albania apparently, assuming that [Mrs. Demiraj]’s information is correct, are reluctant to get involved with [her] problems with Be[d]ini and his associates, there is no evidence that the government of Albania has a policy of ignoring torture if they are specifically aware of [its] occurrence at the time it is occurring and also there is no evidence that [Mrs. Demiraj and her son] would be detained on behalf of the government and subjected to torture with the government’s acquiescence.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decline to disturb this finding. We may only reject the finding of fact that Mrs. Demiraj was not likely to be tortured “if the evidence presented by [the petitioner] was such that a reasonable factfinder would have to conclude that” the finding was incorrect. . . . Mrs. Demiraj only presented evidence that her husband had difficulty convincing the local police to investigate his shooting after the fact. The standard for acquiescence, as the IJ’s finding emphasizes, requires an official to be aware of ongoing torture and likely to refuse to act to intervene and prevent the torture as it is occurring. No such evidence was presented here.</w:t>
      </w:r>
    </w:p>
    <w:p w:rsidR="00000000" w:rsidDel="00000000" w:rsidP="00000000" w:rsidRDefault="00000000" w:rsidRPr="00000000" w14:paraId="00000067">
      <w:pPr>
        <w:keepNext w:val="0"/>
        <w:keepLines w:val="0"/>
        <w:pageBreakBefore w:val="0"/>
        <w:widowControl w:val="0"/>
        <w:pBdr>
          <w:top w:space="0" w:sz="0" w:val="nil"/>
          <w:left w:space="0" w:sz="0" w:val="nil"/>
          <w:bottom w:color="000000" w:space="0" w:sz="8" w:val="single"/>
          <w:right w:space="0" w:sz="0" w:val="nil"/>
          <w:between w:space="0" w:sz="0" w:val="nil"/>
        </w:pBdr>
        <w:shd w:fill="auto" w:val="clear"/>
        <w:tabs>
          <w:tab w:val="left" w:leader="none" w:pos="300"/>
        </w:tabs>
        <w:spacing w:after="0" w:before="0" w:line="278.00000000000006" w:lineRule="auto"/>
        <w:ind w:left="0" w:right="0" w:firstLine="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The 2003 State Department Country Report on Albania, which was in evidence before the IJ, estimated that “60 to 65 percent” of what it termed “blood feud” homicides “were brought to court and nearly all of them ended up at the appellate level.” The portion of that report that expressly assesses the country’s record on torture noted occasional incidents of torture committed by public officials and described most as having been investigated and prosecuted. The IJ therefore had sufficient record evidence to conclude that the state was not “more likely than not” to acquiesce in torture and therefore also to deny relief under that treaty.</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180" w:line="278.00000000000006" w:lineRule="auto"/>
        <w:ind w:left="0" w:right="0" w:firstLine="0"/>
        <w:jc w:val="center"/>
        <w:rPr>
          <w:rFonts w:ascii="Palatino" w:cs="Palatino" w:eastAsia="Palatino" w:hAnsi="Palatino"/>
          <w:b w:val="1"/>
          <w:bCs w:val="1"/>
          <w:i w:val="0"/>
          <w:iCs w:val="0"/>
          <w:smallCaps w:val="0"/>
          <w:strike w:val="0"/>
          <w:color w:val="000000"/>
          <w:sz w:val="22"/>
          <w:szCs w:val="22"/>
          <w:u w:val="none"/>
          <w:shd w:fill="auto" w:val="clear"/>
          <w:vertAlign w:val="baseline"/>
        </w:rPr>
      </w:pPr>
      <w:r w:rsidDel="00000000" w:rsidR="00000000" w:rsidRPr="00000000">
        <w:rPr>
          <w:rFonts w:ascii="Palatino" w:cs="Palatino" w:eastAsia="Palatino" w:hAnsi="Palatino"/>
          <w:b w:val="1"/>
          <w:bCs w:val="1"/>
          <w:i w:val="0"/>
          <w:iCs w:val="0"/>
          <w:smallCaps w:val="0"/>
          <w:strike w:val="0"/>
          <w:color w:val="000000"/>
          <w:sz w:val="22"/>
          <w:szCs w:val="22"/>
          <w:u w:val="none"/>
          <w:shd w:fill="auto" w:val="clear"/>
          <w:vertAlign w:val="baseline"/>
          <w:rtl w:val="0"/>
        </w:rPr>
        <w:t xml:space="preserve">IV. Conclusion</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0" w:before="0" w:line="278.00000000000006" w:lineRule="auto"/>
        <w:ind w:left="0" w:right="0" w:firstLine="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We find no error in the BIA’s conclusion that the petitioners are not entitled to asylum, withholding of removal under the INA, or protection under the Convention Against Torture. We therefore must DENY the petitions.</w:t>
      </w:r>
    </w:p>
    <w:p w:rsidR="00000000" w:rsidDel="00000000" w:rsidP="00000000" w:rsidRDefault="00000000" w:rsidRPr="00000000" w14:paraId="0000006A">
      <w:pPr>
        <w:keepNext w:val="1"/>
        <w:keepLines w:val="1"/>
        <w:pageBreakBefore w:val="0"/>
        <w:widowControl w:val="0"/>
        <w:pBdr>
          <w:top w:space="0" w:sz="0" w:val="nil"/>
          <w:left w:space="0" w:sz="0" w:val="nil"/>
          <w:bottom w:space="0" w:sz="0" w:val="nil"/>
          <w:right w:space="0" w:sz="0" w:val="nil"/>
          <w:between w:space="0" w:sz="0" w:val="nil"/>
        </w:pBdr>
        <w:shd w:fill="auto" w:val="clear"/>
        <w:tabs>
          <w:tab w:val="left" w:leader="none" w:pos="300"/>
        </w:tabs>
        <w:spacing w:after="120" w:before="480" w:line="278.00000000000006" w:lineRule="auto"/>
        <w:ind w:left="0" w:right="0" w:firstLine="0"/>
        <w:jc w:val="center"/>
        <w:rPr>
          <w:rFonts w:ascii="Palatino" w:cs="Palatino" w:eastAsia="Palatino" w:hAnsi="Palatino"/>
          <w:b w:val="1"/>
          <w:bCs w:val="1"/>
          <w:i w:val="0"/>
          <w:iCs w:val="0"/>
          <w:smallCaps w:val="1"/>
          <w:strike w:val="0"/>
          <w:color w:val="000000"/>
          <w:sz w:val="24"/>
          <w:szCs w:val="24"/>
          <w:u w:val="none"/>
          <w:shd w:fill="auto" w:val="clear"/>
          <w:vertAlign w:val="baseline"/>
        </w:rPr>
      </w:pPr>
      <w:r w:rsidDel="00000000" w:rsidR="00000000" w:rsidRPr="00000000">
        <w:rPr>
          <w:rFonts w:ascii="Palatino" w:cs="Palatino" w:eastAsia="Palatino" w:hAnsi="Palatino"/>
          <w:b w:val="1"/>
          <w:bCs w:val="1"/>
          <w:i w:val="0"/>
          <w:iCs w:val="0"/>
          <w:smallCaps w:val="1"/>
          <w:strike w:val="0"/>
          <w:color w:val="000000"/>
          <w:sz w:val="24"/>
          <w:szCs w:val="24"/>
          <w:u w:val="none"/>
          <w:shd w:fill="auto" w:val="clear"/>
          <w:vertAlign w:val="baseline"/>
          <w:rtl w:val="0"/>
        </w:rPr>
        <w:t xml:space="preserve">NOTES AND QUESTIONS</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1.</w:t>
        <w:tab/>
        <w:t xml:space="preserve">As an example of an asylum case, what questions does the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Demiraj</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case raise in your mind?</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2.</w:t>
        <w:tab/>
        <w:t xml:space="preserve">Does the Fifth Circuit believe that Rudina Demiraj would be harmed if she were forced to return to Albania? If so, why is that insufficient to establish eligibility for asylum for her?</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3.</w:t>
        <w:tab/>
        <w:t xml:space="preserve">In concluding that a social group claim had not been established, the court stated that Demiraj did not prove that she “would be targeted for her membership in the Demiraj family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as such.</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It also noted that she “would not be any safer in Albania if she divorced Mr. Demiraj and renounced membership in the family.” What is the logic in this reasoning?</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4.</w:t>
        <w:tab/>
        <w:t xml:space="preserve">Is the approach of the Fifth Circuit in this case consistent with the Supreme Court’s approach to asylum articulated in </w:t>
      </w:r>
      <w:r w:rsidDel="00000000" w:rsidR="00000000" w:rsidRPr="00000000">
        <w:rPr>
          <w:rFonts w:ascii="Palatino" w:cs="Palatino" w:eastAsia="Palatino" w:hAnsi="Palatino"/>
          <w:b w:val="0"/>
          <w:bCs w:val="0"/>
          <w:i w:val="1"/>
          <w:iCs w:val="1"/>
          <w:smallCaps w:val="0"/>
          <w:strike w:val="0"/>
          <w:color w:val="000000"/>
          <w:sz w:val="21"/>
          <w:szCs w:val="21"/>
          <w:u w:val="none"/>
          <w:shd w:fill="auto" w:val="clear"/>
          <w:vertAlign w:val="baseline"/>
          <w:rtl w:val="0"/>
        </w:rPr>
        <w:t xml:space="preserve">Cardoza-Fonseca</w:t>
      </w: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 xml:space="preserve">? Why or why not?</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tabs>
          <w:tab w:val="right" w:leader="none" w:pos="480"/>
        </w:tabs>
        <w:spacing w:after="0" w:before="0" w:line="278.00000000000006" w:lineRule="auto"/>
        <w:ind w:left="600" w:right="0" w:hanging="300"/>
        <w:jc w:val="both"/>
        <w:rPr>
          <w:rFonts w:ascii="Palatino" w:cs="Palatino" w:eastAsia="Palatino" w:hAnsi="Palatino"/>
          <w:b w:val="0"/>
          <w:bCs w:val="0"/>
          <w:i w:val="0"/>
          <w:iCs w:val="0"/>
          <w:smallCaps w:val="0"/>
          <w:strike w:val="0"/>
          <w:color w:val="000000"/>
          <w:sz w:val="21"/>
          <w:szCs w:val="21"/>
          <w:u w:val="none"/>
          <w:shd w:fill="auto" w:val="clear"/>
          <w:vertAlign w:val="baseline"/>
        </w:rPr>
      </w:pPr>
      <w:r w:rsidDel="00000000" w:rsidR="00000000" w:rsidRPr="00000000">
        <w:rPr>
          <w:rFonts w:ascii="Palatino" w:cs="Palatino" w:eastAsia="Palatino" w:hAnsi="Palatino"/>
          <w:b w:val="0"/>
          <w:bCs w:val="0"/>
          <w:i w:val="0"/>
          <w:iCs w:val="0"/>
          <w:smallCaps w:val="0"/>
          <w:strike w:val="0"/>
          <w:color w:val="000000"/>
          <w:sz w:val="21"/>
          <w:szCs w:val="21"/>
          <w:u w:val="none"/>
          <w:shd w:fill="auto" w:val="clear"/>
          <w:vertAlign w:val="baseline"/>
          <w:rtl w:val="0"/>
        </w:rPr>
        <w:tab/>
        <w:t xml:space="preserve">5.</w:t>
        <w:tab/>
        <w:t xml:space="preserve">The court also found that the Convention Against Torture (CAT) claim was not established. Did Demiraj establish a likelihood of being tortured? CAT claims are discussed more fully in Section VII, below.</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Sexual Orientation. On page 719 after note 3 and before Part V, consider this proposition:</w:t>
      </w:r>
    </w:p>
    <w:p w:rsidR="00000000" w:rsidDel="00000000" w:rsidP="00000000" w:rsidRDefault="00000000" w:rsidRPr="00000000" w14:paraId="00000072">
      <w:pPr>
        <w:spacing w:after="240" w:before="240" w:lineRule="auto"/>
        <w:rPr/>
      </w:pPr>
      <w:r w:rsidDel="00000000" w:rsidR="00000000" w:rsidRPr="00000000">
        <w:rPr>
          <w:rtl w:val="0"/>
        </w:rPr>
        <w:t xml:space="preserve">Does queer theory help provide an understanding of Mockeviciene's life? See this comment on the case by William B. Turner (posted on ImmigrationProfBlog, http://lawprofessors.typepad.com/immigration/2017/04/lesbian-asylum-claim-and-queer-theory.html) </w:t>
      </w:r>
    </w:p>
    <w:p w:rsidR="00000000" w:rsidDel="00000000" w:rsidP="00000000" w:rsidRDefault="00000000" w:rsidRPr="00000000" w14:paraId="00000073">
      <w:pPr>
        <w:spacing w:after="240" w:before="240" w:lineRule="auto"/>
        <w:rPr/>
      </w:pPr>
      <w:r w:rsidDel="00000000" w:rsidR="00000000" w:rsidRPr="00000000">
        <w:rPr>
          <w:rtl w:val="0"/>
        </w:rPr>
        <w:t xml:space="preserve">Lesbian Asylum Claim and Queer Theory</w:t>
      </w:r>
    </w:p>
    <w:p w:rsidR="00000000" w:rsidDel="00000000" w:rsidP="00000000" w:rsidRDefault="00000000" w:rsidRPr="00000000" w14:paraId="00000074">
      <w:pPr>
        <w:spacing w:after="240" w:before="240" w:lineRule="auto"/>
        <w:rPr/>
      </w:pPr>
      <w:r w:rsidDel="00000000" w:rsidR="00000000" w:rsidRPr="00000000">
        <w:rPr>
          <w:rtl w:val="0"/>
        </w:rPr>
        <w:t xml:space="preserve">   </w:t>
        <w:tab/>
        <w:t xml:space="preserve">Mockeviciene v. U.S. Attorney General upholds the decisions of an Immigration Judge (IJ) and the Board of Immigration Appeals denying a petition for asylum and withholding of removal. Petitioner based her claim on a fear of persecution in her home country of Lithuania because of sexual orientation.</w:t>
      </w:r>
    </w:p>
    <w:p w:rsidR="00000000" w:rsidDel="00000000" w:rsidP="00000000" w:rsidRDefault="00000000" w:rsidRPr="00000000" w14:paraId="00000075">
      <w:pPr>
        <w:spacing w:after="240" w:before="240" w:lineRule="auto"/>
        <w:rPr/>
      </w:pPr>
      <w:r w:rsidDel="00000000" w:rsidR="00000000" w:rsidRPr="00000000">
        <w:rPr>
          <w:rtl w:val="0"/>
        </w:rPr>
        <w:t xml:space="preserve">   </w:t>
        <w:tab/>
        <w:t xml:space="preserve">According to the circuit court, “The IJ expressly found that Mockeviciene was not credible because, primarily, he did not believe she was actually a lesbian.”</w:t>
      </w:r>
    </w:p>
    <w:p w:rsidR="00000000" w:rsidDel="00000000" w:rsidP="00000000" w:rsidRDefault="00000000" w:rsidRPr="00000000" w14:paraId="00000076">
      <w:pPr>
        <w:spacing w:after="240" w:before="240" w:lineRule="auto"/>
        <w:rPr/>
      </w:pPr>
      <w:r w:rsidDel="00000000" w:rsidR="00000000" w:rsidRPr="00000000">
        <w:rPr>
          <w:rtl w:val="0"/>
        </w:rPr>
        <w:t xml:space="preserve">   </w:t>
        <w:tab/>
        <w:t xml:space="preserve">The issue of asylum claims based on fear of persecution because of one’s sexual orientation is fascinating and important. However, the primary point of the current post is more to connect the reasoning of the IJ in this case with the logic of queer theory. . . .</w:t>
      </w:r>
    </w:p>
    <w:p w:rsidR="00000000" w:rsidDel="00000000" w:rsidP="00000000" w:rsidRDefault="00000000" w:rsidRPr="00000000" w14:paraId="00000077">
      <w:pPr>
        <w:spacing w:after="240" w:before="240" w:lineRule="auto"/>
        <w:rPr/>
      </w:pPr>
      <w:r w:rsidDel="00000000" w:rsidR="00000000" w:rsidRPr="00000000">
        <w:rPr>
          <w:rtl w:val="0"/>
        </w:rPr>
        <w:t xml:space="preserve">   </w:t>
        <w:tab/>
        <w:t xml:space="preserve">One of the key moves in queer theory is to examine who has the authority to claim what types of knowledge, and how that knowledge gets used. Building on feminist theory, queer theorists note that the prevailing definition of “homosexual,” at least before the early 1970s, had the effect of disauthorizing queers to speak for themselves. That definition involved assertions of psychopathology, implying that “homosexuals” are incapable of full political participation. The question of psychopathlogy continues to arise even though the American Psychiatric Association and the American Psychological Association have both disavowed the claim that “homosexual” identity necessarily indicates pathology.</w:t>
      </w:r>
    </w:p>
    <w:p w:rsidR="00000000" w:rsidDel="00000000" w:rsidP="00000000" w:rsidRDefault="00000000" w:rsidRPr="00000000" w14:paraId="00000078">
      <w:pPr>
        <w:spacing w:after="240" w:before="240" w:lineRule="auto"/>
        <w:rPr/>
      </w:pPr>
      <w:r w:rsidDel="00000000" w:rsidR="00000000" w:rsidRPr="00000000">
        <w:rPr>
          <w:rtl w:val="0"/>
        </w:rPr>
        <w:t xml:space="preserve">   </w:t>
        <w:tab/>
        <w:t xml:space="preserve">In other words, the issue is predominantly political (as it always was — there was never any medical evidence to support the assertion that “homosexuals” were mentally ill to begin with). The Immigration Judge has the authority to decide if a given asylum seeker is really a lesbian or not. Even if we wish to insist that IJ/BIA decisions are a matter of law, not politics, still queer theorists would insist that political considerations broadly defined have an impact on any interaction between a litigant, especially an asylum-seeker, and a judge. Power differentials necessarily inform such situations.</w:t>
      </w:r>
    </w:p>
    <w:p w:rsidR="00000000" w:rsidDel="00000000" w:rsidP="00000000" w:rsidRDefault="00000000" w:rsidRPr="00000000" w14:paraId="00000079">
      <w:pPr>
        <w:spacing w:after="240" w:before="240" w:lineRule="auto"/>
        <w:rPr/>
      </w:pPr>
      <w:r w:rsidDel="00000000" w:rsidR="00000000" w:rsidRPr="00000000">
        <w:rPr>
          <w:rtl w:val="0"/>
        </w:rPr>
        <w:t xml:space="preserve">   </w:t>
        <w:tab/>
        <w:t xml:space="preserve">The IJ did articulate specific criteria for his (?) conclusion that Mockeviciene was not credible in claiming to be a lesbian. The circuit court responded that “[w]e are skeptical of the reasoning the IJ used to determine his adverse credibility finding. The fact that Mockeviciene had not been in a recent relationship with a woman is not probative of her sexual orientation. And contrary to the IJ’s findings, Mockeviciene did not define being a lesbian as ‘not necessarily involv[ing] sexual relationship,’ but, rather, when the IJ asked her what she thought being a lesbian meant, she responded that ‘[i]t doesn’t have to be a sexual affair,’ and added that ‘[s]ex is necessary between two lesbians. I want to say that I want to have sex with the woman. I cannot have it with a man.’”</w:t>
      </w:r>
    </w:p>
    <w:p w:rsidR="00000000" w:rsidDel="00000000" w:rsidP="00000000" w:rsidRDefault="00000000" w:rsidRPr="00000000" w14:paraId="0000007A">
      <w:pPr>
        <w:spacing w:after="240" w:before="240" w:lineRule="auto"/>
        <w:rPr/>
      </w:pPr>
      <w:r w:rsidDel="00000000" w:rsidR="00000000" w:rsidRPr="00000000">
        <w:rPr>
          <w:rtl w:val="0"/>
        </w:rPr>
        <w:t xml:space="preserve">   </w:t>
        <w:tab/>
        <w:t xml:space="preserve">Perhaps the IJ could assert that she (?) took judicial notice of the fact that “lesbian” necessarily denotes a woman who desires a sexual relationship with another woman. Presumably many persons would find such a definition unobjectionable.</w:t>
      </w:r>
    </w:p>
    <w:p w:rsidR="00000000" w:rsidDel="00000000" w:rsidP="00000000" w:rsidRDefault="00000000" w:rsidRPr="00000000" w14:paraId="0000007B">
      <w:pPr>
        <w:spacing w:after="240" w:before="240" w:lineRule="auto"/>
        <w:rPr/>
      </w:pPr>
      <w:r w:rsidDel="00000000" w:rsidR="00000000" w:rsidRPr="00000000">
        <w:rPr>
          <w:rtl w:val="0"/>
        </w:rPr>
        <w:t xml:space="preserve">   </w:t>
        <w:tab/>
        <w:t xml:space="preserve">But if the court would decide whether the petitioner fits the definition of “lesbian,” then the court should also consider evidence in support of the petitioner’s testimony. Anyone who is familiar with the literature would immediately turn to Adrienne Rich’s famous essay, “The Woman-Identified Woman,” which includes a definition of “lesbian” that does not require “sex” as a criterion.</w:t>
      </w:r>
    </w:p>
    <w:p w:rsidR="00000000" w:rsidDel="00000000" w:rsidP="00000000" w:rsidRDefault="00000000" w:rsidRPr="00000000" w14:paraId="0000007C">
      <w:pPr>
        <w:spacing w:after="240" w:before="240" w:lineRule="auto"/>
        <w:rPr/>
      </w:pPr>
      <w:r w:rsidDel="00000000" w:rsidR="00000000" w:rsidRPr="00000000">
        <w:rPr>
          <w:rtl w:val="0"/>
        </w:rPr>
        <w:t xml:space="preserve">   </w:t>
        <w:tab/>
        <w:t xml:space="preserve">The key queer theoretical point here is that the important dynamic is not the presence or absence of sex. The important dynamic involves who gets to decide whether a given individual is a lesbian or not, and what procedure (or lack of procedure) the decision maker must use in arriving at a conclusion. The IJ, presumably operating with a hermeneutic of suspicion regarding asylum seekers generally, found readily available the definition of “lesbian” as a hook for hanging hir determination that Mockeviciene lacked credibility.</w:t>
      </w:r>
    </w:p>
    <w:p w:rsidR="00000000" w:rsidDel="00000000" w:rsidP="00000000" w:rsidRDefault="00000000" w:rsidRPr="00000000" w14:paraId="0000007D">
      <w:pPr>
        <w:spacing w:after="240" w:before="240" w:lineRule="auto"/>
        <w:rPr/>
      </w:pPr>
      <w:r w:rsidDel="00000000" w:rsidR="00000000" w:rsidRPr="00000000">
        <w:rPr>
          <w:rtl w:val="0"/>
        </w:rPr>
        <w:t xml:space="preserve">   </w:t>
        <w:tab/>
        <w:t xml:space="preserve">Note in passing that Mockeviciene “testified that from 1994 until she left the country in 2000, the Lithuanian police searched her apartment without a warrant, had her terminated from her employment, improperly evicted her from her apartment, and twice detained her and beat her, all on account of her sexual orientation.” Her litany of harassment — persecution? — began when she told her husband that she was a lesbian. He allegedly beat and raped her while friends held her down. After that, she suffered mostly at the hands of the constabulary. A feminist/queer analysis would note the overlap between patriarchal power in the home and police power in the street (or, police power in the home as well, since Mockeviciene claims to have returned from vacation only to find someone else living in her apartment, replete with the requisite documentation, id.).</w:t>
      </w:r>
    </w:p>
    <w:p w:rsidR="00000000" w:rsidDel="00000000" w:rsidP="00000000" w:rsidRDefault="00000000" w:rsidRPr="00000000" w14:paraId="0000007E">
      <w:pPr>
        <w:spacing w:after="240" w:before="240" w:lineRule="auto"/>
        <w:rPr/>
      </w:pPr>
      <w:r w:rsidDel="00000000" w:rsidR="00000000" w:rsidRPr="00000000">
        <w:rPr>
          <w:rtl w:val="0"/>
        </w:rPr>
        <w:t xml:space="preserve">   </w:t>
        <w:tab/>
        <w:t xml:space="preserve">Of course, one must also note that Mockeviciene undermined her own credibility by getting married to a man during this process. Having explained why it doubted the conclusions of the IJ based on the record, the circuit court asserted, “[n]evertheless, it is not our role to evaluate the record anew. We are limited to reviewing the BIA and IJ decisions and reversing only if the evidence compels us to do so. Given Mockeviciene’s recent marriage, the evidence does not compel reversal of the BIA’s credibility determination.” (internal citation omitted).</w:t>
      </w:r>
    </w:p>
    <w:p w:rsidR="00000000" w:rsidDel="00000000" w:rsidP="00000000" w:rsidRDefault="00000000" w:rsidRPr="00000000" w14:paraId="0000007F">
      <w:pPr>
        <w:spacing w:after="240" w:before="240" w:lineRule="auto"/>
        <w:rPr/>
      </w:pPr>
      <w:r w:rsidDel="00000000" w:rsidR="00000000" w:rsidRPr="00000000">
        <w:rPr>
          <w:rtl w:val="0"/>
        </w:rPr>
        <w:t xml:space="preserve">   </w:t>
        <w:tab/>
        <w:t xml:space="preserve">Again, it seems obvious that, among all the things a lesbian might do, marrying a man is not one of them. In fact, however, it is not at all uncommon for lesbians to be married at some point in their lives. One who takes a sympathetic view of Mockeviciene’s plight could easily interpret her decision to marry a man as an indication of the level of desperation she felt at the possibility of returning to Lithuania.</w:t>
      </w:r>
    </w:p>
    <w:p w:rsidR="00000000" w:rsidDel="00000000" w:rsidP="00000000" w:rsidRDefault="00000000" w:rsidRPr="00000000" w14:paraId="00000080">
      <w:pPr>
        <w:spacing w:after="240" w:before="240" w:lineRule="auto"/>
        <w:rPr/>
      </w:pPr>
      <w:r w:rsidDel="00000000" w:rsidR="00000000" w:rsidRPr="00000000">
        <w:rPr>
          <w:rtl w:val="0"/>
        </w:rPr>
        <w:t xml:space="preserve">   </w:t>
        <w:tab/>
        <w:t xml:space="preserve">Thus, an Immigration Judge has considerable leeway to rely on ad hoc definitions of “lesbian” in evaluating the credibility of a self-proclaimed lesbian petitioner. The judges of the 11th Circuit would seem to have restrained the IJ using elementary principles of interpretation, but from a queer theoretical perspective, the circuit court judges stand in the same relationship toward the petitioner as did the Immigration Judge insofar as they also relied on an ad hoc definition of “lesbian,” supported only by the seemingly more obvious evidence of her recent marriage to a man, in order to justify their doubts about her credibility. Apparently none of these judges feels any responsibility to gather actual information about the lives of lesbians before making highly consequential decisions that turn on the credibility of a self-described lesbian petitioner. Indeed, one suspects that some judges consider ignorance a virtue in such cases.</w:t>
      </w:r>
    </w:p>
    <w:p w:rsidR="00000000" w:rsidDel="00000000" w:rsidP="00000000" w:rsidRDefault="00000000" w:rsidRPr="00000000" w14:paraId="00000081">
      <w:pPr>
        <w:spacing w:after="240" w:before="240" w:lineRule="auto"/>
        <w:rPr/>
      </w:pPr>
      <w:r w:rsidDel="00000000" w:rsidR="00000000" w:rsidRPr="00000000">
        <w:rPr>
          <w:rtl w:val="0"/>
        </w:rPr>
        <w:t xml:space="preserve">NOTE:  Some immigration judges have been evolving in positive ways regarding how LGBTQ+ asylum applicants can “prove” their identity/membership in a particular social group. More lawyers are advising their clients to focus on how they came to realize that they were “different,” and aspects relating to individuals’ “coming out” stories, rather than focusing on stereotypes of appearance or particular sex acts to prove one’s identity to a judge. While this approach too can have serious negative consequences for the individual, particularly for those who are not ready to “come out” but are forced to do so in order to be granted asylum, this may be a much more compassionate approach than has previously been used by many judges and courts. See LGBTQ Caravan Migrants May Have to “Prove” Their Gender or Sexual Identity at US Border, The Conversation (Nov. 30, 2018).</w:t>
      </w:r>
    </w:p>
    <w:p w:rsidR="00000000" w:rsidDel="00000000" w:rsidP="00000000" w:rsidRDefault="00000000" w:rsidRPr="00000000" w14:paraId="00000082">
      <w:pPr>
        <w:spacing w:after="240" w:before="240" w:lineRule="auto"/>
        <w:rPr/>
      </w:pPr>
      <w:r w:rsidDel="00000000" w:rsidR="00000000" w:rsidRPr="00000000">
        <w:rPr>
          <w:rtl w:val="0"/>
        </w:rPr>
      </w:r>
    </w:p>
    <w:p w:rsidR="00000000" w:rsidDel="00000000" w:rsidP="00000000" w:rsidRDefault="00000000" w:rsidRPr="00000000" w14:paraId="00000083">
      <w:pPr>
        <w:spacing w:after="240" w:before="240" w:lineRule="auto"/>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Credibility. On page 750, after note 8:</w:t>
      </w:r>
    </w:p>
    <w:p w:rsidR="00000000" w:rsidDel="00000000" w:rsidP="00000000" w:rsidRDefault="00000000" w:rsidRPr="00000000" w14:paraId="00000086">
      <w:pPr>
        <w:spacing w:after="240" w:before="240" w:lineRule="auto"/>
        <w:rPr/>
      </w:pPr>
      <w:r w:rsidDel="00000000" w:rsidR="00000000" w:rsidRPr="00000000">
        <w:rPr>
          <w:rtl w:val="0"/>
        </w:rPr>
        <w:t xml:space="preserve">Strong dissenting opinions were filed in Matter of A — S — :</w:t>
      </w:r>
    </w:p>
    <w:p w:rsidR="00000000" w:rsidDel="00000000" w:rsidP="00000000" w:rsidRDefault="00000000" w:rsidRPr="00000000" w14:paraId="00000087">
      <w:pPr>
        <w:spacing w:after="240" w:before="240" w:lineRule="auto"/>
        <w:rPr/>
      </w:pPr>
      <w:r w:rsidDel="00000000" w:rsidR="00000000" w:rsidRPr="00000000">
        <w:rPr>
          <w:rtl w:val="0"/>
        </w:rPr>
        <w:t xml:space="preserve">Matter of A — S — </w:t>
      </w:r>
    </w:p>
    <w:p w:rsidR="00000000" w:rsidDel="00000000" w:rsidP="00000000" w:rsidRDefault="00000000" w:rsidRPr="00000000" w14:paraId="00000088">
      <w:pPr>
        <w:spacing w:after="240" w:before="240" w:lineRule="auto"/>
        <w:rPr/>
      </w:pPr>
      <w:r w:rsidDel="00000000" w:rsidR="00000000" w:rsidRPr="00000000">
        <w:rPr>
          <w:rtl w:val="0"/>
        </w:rPr>
        <w:t xml:space="preserve">21 I &amp; N Dec. 1106 (BIA 1998)</w:t>
      </w:r>
    </w:p>
    <w:p w:rsidR="00000000" w:rsidDel="00000000" w:rsidP="00000000" w:rsidRDefault="00000000" w:rsidRPr="00000000" w14:paraId="00000089">
      <w:pPr>
        <w:spacing w:after="240" w:before="240" w:lineRule="auto"/>
        <w:rPr/>
      </w:pPr>
      <w:r w:rsidDel="00000000" w:rsidR="00000000" w:rsidRPr="00000000">
        <w:rPr>
          <w:rtl w:val="0"/>
        </w:rPr>
        <w:t xml:space="preserve">DISSENTING OPINION: Paul W. Schmidt, Chairman, in which John W. Guendelsberger, Board Member, joined.</w:t>
      </w:r>
    </w:p>
    <w:p w:rsidR="00000000" w:rsidDel="00000000" w:rsidP="00000000" w:rsidRDefault="00000000" w:rsidRPr="00000000" w14:paraId="0000008A">
      <w:pPr>
        <w:spacing w:after="240" w:before="240" w:lineRule="auto"/>
        <w:rPr/>
      </w:pPr>
      <w:r w:rsidDel="00000000" w:rsidR="00000000" w:rsidRPr="00000000">
        <w:rPr>
          <w:rtl w:val="0"/>
        </w:rPr>
        <w:t xml:space="preserve">. . .</w:t>
      </w:r>
    </w:p>
    <w:p w:rsidR="00000000" w:rsidDel="00000000" w:rsidP="00000000" w:rsidRDefault="00000000" w:rsidRPr="00000000" w14:paraId="0000008B">
      <w:pPr>
        <w:spacing w:after="240" w:before="240" w:lineRule="auto"/>
        <w:rPr/>
      </w:pPr>
      <w:r w:rsidDel="00000000" w:rsidR="00000000" w:rsidRPr="00000000">
        <w:rPr>
          <w:rtl w:val="0"/>
        </w:rPr>
        <w:t xml:space="preserve">While we may lack the advantage of a face-to-face observation of the witness, we have the very substantial, and much underrated, advantage of being able to review a written transcript. We also have a talented professional staff to assist us in reviewing the record. In addition, the absence of personal interaction with the parties and their counsel in the trial courtroom insulates us from the almost inevitable, and often distracting, frustrations and extraneous factors that could accompany such personal interaction, particularly in a “high-volume” trial system like the Immigration Court. Moreover, we have the opportunity for collegial discussion and the application of shared expertise to difficult appellate issues.</w:t>
      </w:r>
    </w:p>
    <w:p w:rsidR="00000000" w:rsidDel="00000000" w:rsidP="00000000" w:rsidRDefault="00000000" w:rsidRPr="00000000" w14:paraId="0000008C">
      <w:pPr>
        <w:spacing w:after="240" w:before="240" w:lineRule="auto"/>
        <w:rPr/>
      </w:pPr>
      <w:r w:rsidDel="00000000" w:rsidR="00000000" w:rsidRPr="00000000">
        <w:rPr>
          <w:rtl w:val="0"/>
        </w:rPr>
        <w:t xml:space="preserve">Therefore, it is not clear to me why our vantage point is necessarily less revealing than that of the Immigration Judge and why we want to give such great deference to the Immigration Judge, rather than relying on our own expertise and sound, independent judgment after review of the written record on appeal. I find it interesting that the majority embraces a rule that strongly prefers the assessment of credibility below to that we might reach through an exercise of our own independent, expert judgment on a de novo basis.</w:t>
      </w:r>
    </w:p>
    <w:p w:rsidR="00000000" w:rsidDel="00000000" w:rsidP="00000000" w:rsidRDefault="00000000" w:rsidRPr="00000000" w14:paraId="0000008D">
      <w:pPr>
        <w:spacing w:after="240" w:before="240" w:lineRule="auto"/>
        <w:rPr/>
      </w:pPr>
      <w:r w:rsidDel="00000000" w:rsidR="00000000" w:rsidRPr="00000000">
        <w:rPr>
          <w:rtl w:val="0"/>
        </w:rPr>
        <w:t xml:space="preserve">. . .</w:t>
      </w:r>
    </w:p>
    <w:p w:rsidR="00000000" w:rsidDel="00000000" w:rsidP="00000000" w:rsidRDefault="00000000" w:rsidRPr="00000000" w14:paraId="0000008E">
      <w:pPr>
        <w:spacing w:after="240" w:before="240" w:lineRule="auto"/>
        <w:rPr/>
      </w:pPr>
      <w:r w:rsidDel="00000000" w:rsidR="00000000" w:rsidRPr="00000000">
        <w:rPr>
          <w:rtl w:val="0"/>
        </w:rPr>
        <w:t xml:space="preserve">De Novo Analysis</w:t>
      </w:r>
    </w:p>
    <w:p w:rsidR="00000000" w:rsidDel="00000000" w:rsidP="00000000" w:rsidRDefault="00000000" w:rsidRPr="00000000" w14:paraId="0000008F">
      <w:pPr>
        <w:spacing w:after="240" w:before="240" w:lineRule="auto"/>
        <w:rPr/>
      </w:pPr>
      <w:r w:rsidDel="00000000" w:rsidR="00000000" w:rsidRPr="00000000">
        <w:rPr>
          <w:rtl w:val="0"/>
        </w:rPr>
        <w:t xml:space="preserve">. . .</w:t>
      </w:r>
    </w:p>
    <w:p w:rsidR="00000000" w:rsidDel="00000000" w:rsidP="00000000" w:rsidRDefault="00000000" w:rsidRPr="00000000" w14:paraId="00000090">
      <w:pPr>
        <w:spacing w:after="240" w:before="240" w:lineRule="auto"/>
        <w:rPr/>
      </w:pPr>
      <w:r w:rsidDel="00000000" w:rsidR="00000000" w:rsidRPr="00000000">
        <w:rPr>
          <w:rtl w:val="0"/>
        </w:rPr>
        <w:t xml:space="preserve">Although the Immigration Judge recognized that the respondent submitted documentary evidence and background materials to support his asylum application, the Immigration Judge decided to give “little weight” to certain pieces of this evidence. Specifically, the Immigration Judge afforded little weight to two letters submitted by the respondent from the president and secretary of the local chapter of the Jatiyo Party in Bangladesh’s Shunamgonj District. I disagree with the Immigration Judge’s assessment that the respondent “seemed to have very little knowledge as to how those letters were obtained.”</w:t>
      </w:r>
    </w:p>
    <w:p w:rsidR="00000000" w:rsidDel="00000000" w:rsidP="00000000" w:rsidRDefault="00000000" w:rsidRPr="00000000" w14:paraId="00000091">
      <w:pPr>
        <w:spacing w:after="240" w:before="240" w:lineRule="auto"/>
        <w:rPr/>
      </w:pPr>
      <w:r w:rsidDel="00000000" w:rsidR="00000000" w:rsidRPr="00000000">
        <w:rPr>
          <w:rtl w:val="0"/>
        </w:rPr>
        <w:t xml:space="preserve">I observe, as did the Immigration Judge, that these letters are undated. However, the respondent testified at his hearing that he asked his father, who still lives in Bangladesh, to secure these letters from the Jatiyo Party in order to substantiate his claim of party membership. He also testified, plausibly, that his father mailed the letters to him in the United States approximately 4 to 6 months prior to the deportation hearing. I do not agree, therefore, that the letters deserved limited probative weight.</w:t>
      </w:r>
    </w:p>
    <w:p w:rsidR="00000000" w:rsidDel="00000000" w:rsidP="00000000" w:rsidRDefault="00000000" w:rsidRPr="00000000" w14:paraId="00000092">
      <w:pPr>
        <w:spacing w:after="240" w:before="240" w:lineRule="auto"/>
        <w:rPr/>
      </w:pPr>
      <w:r w:rsidDel="00000000" w:rsidR="00000000" w:rsidRPr="00000000">
        <w:rPr>
          <w:rtl w:val="0"/>
        </w:rPr>
        <w:t xml:space="preserve">Next, the Immigration Judge concluded that the respondent’s testimony was “vague, lacking in specifics and details,” and was delivered in a halting manner. However, the record reveals that the respondent provided numerous specific details to support his claim. For example, the respondent demonstrated his knowledge of how President Ershad organized Bangladesh into district and sub-district level administration. The respondent testified that there were 360 subdistricts and 64 districts in Bangladesh. He also provided details regarding his position as a party “organizing secretary” at the sub-district level.</w:t>
      </w:r>
    </w:p>
    <w:p w:rsidR="00000000" w:rsidDel="00000000" w:rsidP="00000000" w:rsidRDefault="00000000" w:rsidRPr="00000000" w14:paraId="00000093">
      <w:pPr>
        <w:spacing w:after="240" w:before="240" w:lineRule="auto"/>
        <w:rPr/>
      </w:pPr>
      <w:r w:rsidDel="00000000" w:rsidR="00000000" w:rsidRPr="00000000">
        <w:rPr>
          <w:rtl w:val="0"/>
        </w:rPr>
        <w:t xml:space="preserve">Furthermore, although I obviously did not have the benefit of observing the manner in which the respondent testified, I decline to assume that his “halting” manner of testifying indicated that he was untruthful, especially when considering the nervousness that is often precipitated by appearing at a tribunal in any country, let alone a foreign country. . . . My own professional experience and observation is that halting delivery of a presentation in a formal setting often has causes other than untruthfulness.</w:t>
      </w:r>
    </w:p>
    <w:p w:rsidR="00000000" w:rsidDel="00000000" w:rsidP="00000000" w:rsidRDefault="00000000" w:rsidRPr="00000000" w14:paraId="00000094">
      <w:pPr>
        <w:spacing w:after="240" w:before="240" w:lineRule="auto"/>
        <w:rPr/>
      </w:pPr>
      <w:r w:rsidDel="00000000" w:rsidR="00000000" w:rsidRPr="00000000">
        <w:rPr>
          <w:rtl w:val="0"/>
        </w:rPr>
        <w:t xml:space="preserve">The Immigration Judge also stated in his oral decision that the respondent “seemed to have some confusion about the February of 1991 elections,” and gave contradictory testimony about whether the Jatiyo Party and President Ershad actually took part in the elections or won any seats. However, my reading of the record indicates otherwise.</w:t>
      </w:r>
    </w:p>
    <w:p w:rsidR="00000000" w:rsidDel="00000000" w:rsidP="00000000" w:rsidRDefault="00000000" w:rsidRPr="00000000" w14:paraId="00000095">
      <w:pPr>
        <w:spacing w:after="240" w:before="240" w:lineRule="auto"/>
        <w:rPr/>
      </w:pPr>
      <w:r w:rsidDel="00000000" w:rsidR="00000000" w:rsidRPr="00000000">
        <w:rPr>
          <w:rtl w:val="0"/>
        </w:rPr>
        <w:t xml:space="preserve">Although the respondent first stated that the general elections occurred in September 1991, he soon thereafter stated correctly that they occurred in February 1991. The respondent demonstrated his familiarity with the election results, explaining that Jatiyo Party members were elected and that President Ershad contested the election. The respondent also testified that President Ershad was imprisoned, but was “nominated from prison” for the presidency. The Department of State’s Comments on Country Conditions and Asylum Claims for Bangladesh confirm that the Jatiyo Party won 35 Parliamentary seats in the 1991 elections and that President Ershad remains in prison (although this source does not reveal when President Ershad was imprisoned). . . .In light of these facts, I do not agree that the respondent supplied vague or confusing testimony about the participation of the Jatiyo Party or President Ershad in the 1991 elections.</w:t>
      </w:r>
    </w:p>
    <w:p w:rsidR="00000000" w:rsidDel="00000000" w:rsidP="00000000" w:rsidRDefault="00000000" w:rsidRPr="00000000" w14:paraId="00000096">
      <w:pPr>
        <w:spacing w:after="240" w:before="240" w:lineRule="auto"/>
        <w:rPr/>
      </w:pPr>
      <w:r w:rsidDel="00000000" w:rsidR="00000000" w:rsidRPr="00000000">
        <w:rPr>
          <w:rtl w:val="0"/>
        </w:rPr>
        <w:t xml:space="preserve">The Immigration Judge’s concerns about the respondent’s credibility also centered on testimony concerning dates when he met with President Ershad. After testifying that he joined the Jatiyo Party in 1985, the respondent stated that he met with President Ershad in 1982. When confronted with that discrepancy, the respondent stated that he could not give the exact dates because he did not quite remember them. I note that the respondent testified that he has trouble remembering things, which could be one of a number of reasons for the discrepancy.</w:t>
      </w:r>
    </w:p>
    <w:p w:rsidR="00000000" w:rsidDel="00000000" w:rsidP="00000000" w:rsidRDefault="00000000" w:rsidRPr="00000000" w14:paraId="00000097">
      <w:pPr>
        <w:spacing w:after="240" w:before="240" w:lineRule="auto"/>
        <w:rPr/>
      </w:pPr>
      <w:r w:rsidDel="00000000" w:rsidR="00000000" w:rsidRPr="00000000">
        <w:rPr>
          <w:rtl w:val="0"/>
        </w:rPr>
        <w:t xml:space="preserve">I also recognize that the respondent gave dates in his testimony about when rival political parties harmed or attempted to harm him that differed from his written asylum application. The Immigration Judge noted that the respondent testified that members of rival political parties looked for him at his family’s house in July 1993. The respondent also testified that later the same month, the same people returned and found the respondent, thereupon beating him with a bamboo stick. The Immigration Judge contrasted this testimony with the respondent’s asylum application, which states that in March 1991, members of rival political parties looked for him at his family house and that in January 1992, the same people beat him with a bamboo stick. The Immigration Judge also noted that the respondent failed to testify about an incident described in his asylum application, which states that in July 1993, members of the BNP and the police beat him while he was demonstrating.</w:t>
      </w:r>
    </w:p>
    <w:p w:rsidR="00000000" w:rsidDel="00000000" w:rsidP="00000000" w:rsidRDefault="00000000" w:rsidRPr="00000000" w14:paraId="00000098">
      <w:pPr>
        <w:spacing w:after="240" w:before="240" w:lineRule="auto"/>
        <w:rPr/>
      </w:pPr>
      <w:r w:rsidDel="00000000" w:rsidR="00000000" w:rsidRPr="00000000">
        <w:rPr>
          <w:rtl w:val="0"/>
        </w:rPr>
        <w:t xml:space="preserve">The dates provided in the respondent’s testimony do not match the dates provided in his asylum application. However, as discussed above, the respondent asserted while testifying that he has trouble remembering dates, a characteristic that was most likely compounded by the fact that many incidents involving the respondent and rival political parties occurred. Difficulties in remembering dates are certainly a common problem with respect to victims of persecution. See generally Tina Rosenberg, To Hell and Back, New York Times Magazine, Dec. 28, 1997, at 32, 34. For example, according to this article on refugees who are victims of torture:</w:t>
      </w:r>
    </w:p>
    <w:p w:rsidR="00000000" w:rsidDel="00000000" w:rsidP="00000000" w:rsidRDefault="00000000" w:rsidRPr="00000000" w14:paraId="00000099">
      <w:pPr>
        <w:spacing w:after="240" w:before="240" w:lineRule="auto"/>
        <w:rPr/>
      </w:pPr>
      <w:r w:rsidDel="00000000" w:rsidR="00000000" w:rsidRPr="00000000">
        <w:rPr>
          <w:rtl w:val="0"/>
        </w:rPr>
        <w:t xml:space="preserve">Early studies suggest that the brain processes a traumatic event very differently from an everyday one and might keep the trauma from being integrated with other memories. That may explain why trauma sufferers have amnesia or can retrieve only fragments, like a smell or sound, or cannot put the events behind them.</w:t>
      </w:r>
    </w:p>
    <w:p w:rsidR="00000000" w:rsidDel="00000000" w:rsidP="00000000" w:rsidRDefault="00000000" w:rsidRPr="00000000" w14:paraId="0000009A">
      <w:pPr>
        <w:spacing w:after="240" w:before="240" w:lineRule="auto"/>
        <w:rPr/>
      </w:pPr>
      <w:r w:rsidDel="00000000" w:rsidR="00000000" w:rsidRPr="00000000">
        <w:rPr>
          <w:rtl w:val="0"/>
        </w:rPr>
        <w:t xml:space="preserve">Id. at 34.</w:t>
      </w:r>
    </w:p>
    <w:p w:rsidR="00000000" w:rsidDel="00000000" w:rsidP="00000000" w:rsidRDefault="00000000" w:rsidRPr="00000000" w14:paraId="0000009B">
      <w:pPr>
        <w:spacing w:after="240" w:before="240" w:lineRule="auto"/>
        <w:rPr/>
      </w:pPr>
      <w:r w:rsidDel="00000000" w:rsidR="00000000" w:rsidRPr="00000000">
        <w:rPr>
          <w:rtl w:val="0"/>
        </w:rPr>
        <w:t xml:space="preserve">Our decisions have been circumspect about using dates as a basis for adverse credibility findings in asylum cases. . . . I also observe that the respondent was not given an opportunity to explain the events surrounding the July 1993 demonstration, and he remarked at the end of his hearing that he had not completely addressed the full range of events while testifying.</w:t>
      </w:r>
    </w:p>
    <w:p w:rsidR="00000000" w:rsidDel="00000000" w:rsidP="00000000" w:rsidRDefault="00000000" w:rsidRPr="00000000" w14:paraId="0000009C">
      <w:pPr>
        <w:spacing w:after="240" w:before="240" w:lineRule="auto"/>
        <w:rPr/>
      </w:pPr>
      <w:r w:rsidDel="00000000" w:rsidR="00000000" w:rsidRPr="00000000">
        <w:rPr>
          <w:rtl w:val="0"/>
        </w:rPr>
        <w:t xml:space="preserve">Overall, the respondent presented oral testimony that was sufficiently detailed and plausible when considered in conjunction with the background evidence in the record concerning conditions in Bangladesh. . . . The “omissions” from the asylum application relied upon by the majority do not seem remarkable or particularly significant in the overall context of the case. The real issue is whether respondent’s testimony is negated because it contains dates that differ from those in the respondent’s written asylum application.</w:t>
      </w:r>
    </w:p>
    <w:p w:rsidR="00000000" w:rsidDel="00000000" w:rsidP="00000000" w:rsidRDefault="00000000" w:rsidRPr="00000000" w14:paraId="0000009D">
      <w:pPr>
        <w:spacing w:after="240" w:before="240" w:lineRule="auto"/>
        <w:rPr/>
      </w:pPr>
      <w:r w:rsidDel="00000000" w:rsidR="00000000" w:rsidRPr="00000000">
        <w:rPr>
          <w:rtl w:val="0"/>
        </w:rPr>
        <w:t xml:space="preserve">The majority concludes, as reasonable adjudicators perhaps could, that the respondent is likely an imposter who has fabricated his claim, or the material portions of it. I, on the other hand, take him for what he appears to me to be: a persecuted individual with a less than perfect memory who was not properly prepared to testify at his asylum hearing.</w:t>
      </w:r>
    </w:p>
    <w:p w:rsidR="00000000" w:rsidDel="00000000" w:rsidP="00000000" w:rsidRDefault="00000000" w:rsidRPr="00000000" w14:paraId="0000009E">
      <w:pPr>
        <w:spacing w:after="240" w:before="240" w:lineRule="auto"/>
        <w:rPr/>
      </w:pPr>
      <w:r w:rsidDel="00000000" w:rsidR="00000000" w:rsidRPr="00000000">
        <w:rPr>
          <w:rtl w:val="0"/>
        </w:rPr>
        <w:t xml:space="preserve">. . .</w:t>
      </w:r>
    </w:p>
    <w:p w:rsidR="00000000" w:rsidDel="00000000" w:rsidP="00000000" w:rsidRDefault="00000000" w:rsidRPr="00000000" w14:paraId="0000009F">
      <w:pPr>
        <w:spacing w:after="240" w:before="240" w:lineRule="auto"/>
        <w:rPr/>
      </w:pPr>
      <w:r w:rsidDel="00000000" w:rsidR="00000000" w:rsidRPr="00000000">
        <w:rPr>
          <w:rtl w:val="0"/>
        </w:rPr>
        <w:t xml:space="preserve">In reviewing the record de novo, I find that it does not warrant an overall adverse credibility finding. . . . In my view, the confusion or discrepancies concerning temporal details does not indicate that the respondent fabricated his claim, nor does it undermine his claim to such a degree as to negate the claim’s substance. . . .</w:t>
      </w:r>
    </w:p>
    <w:p w:rsidR="00000000" w:rsidDel="00000000" w:rsidP="00000000" w:rsidRDefault="00000000" w:rsidRPr="00000000" w14:paraId="000000A0">
      <w:pPr>
        <w:spacing w:after="240" w:before="240" w:lineRule="auto"/>
        <w:rPr/>
      </w:pPr>
      <w:r w:rsidDel="00000000" w:rsidR="00000000" w:rsidRPr="00000000">
        <w:rPr>
          <w:rtl w:val="0"/>
        </w:rPr>
        <w:t xml:space="preserve">. . .</w:t>
      </w:r>
    </w:p>
    <w:p w:rsidR="00000000" w:rsidDel="00000000" w:rsidP="00000000" w:rsidRDefault="00000000" w:rsidRPr="00000000" w14:paraId="000000A1">
      <w:pPr>
        <w:spacing w:after="240" w:before="240" w:lineRule="auto"/>
        <w:rPr/>
      </w:pPr>
      <w:r w:rsidDel="00000000" w:rsidR="00000000" w:rsidRPr="00000000">
        <w:rPr>
          <w:rtl w:val="0"/>
        </w:rPr>
        <w:t xml:space="preserve">III. Conclusion</w:t>
      </w:r>
    </w:p>
    <w:p w:rsidR="00000000" w:rsidDel="00000000" w:rsidP="00000000" w:rsidRDefault="00000000" w:rsidRPr="00000000" w14:paraId="000000A2">
      <w:pPr>
        <w:spacing w:after="240" w:before="240" w:lineRule="auto"/>
        <w:rPr/>
      </w:pPr>
      <w:r w:rsidDel="00000000" w:rsidR="00000000" w:rsidRPr="00000000">
        <w:rPr>
          <w:rtl w:val="0"/>
        </w:rPr>
        <w:t xml:space="preserve">Perhaps the future of this Board is to move away from de novo review of factual issues and to confine ourselves to the more comfortable area of resolving disputed legal points. Maybe, in the long run, we should function more like an appellate court than a group of subject matter experts seeking to do justice in individual cases within our jurisdiction. Possibly, the appellate uniformity and restraint promoted by the majority’s rule will outweigh the disadvantage of requiring individual Board Members to affirm reasonable, but arguably incorrect, decisions by Immigration Judges in certain cases.</w:t>
      </w:r>
    </w:p>
    <w:p w:rsidR="00000000" w:rsidDel="00000000" w:rsidP="00000000" w:rsidRDefault="00000000" w:rsidRPr="00000000" w14:paraId="000000A3">
      <w:pPr>
        <w:spacing w:after="240" w:before="240" w:lineRule="auto"/>
        <w:rPr/>
      </w:pPr>
      <w:r w:rsidDel="00000000" w:rsidR="00000000" w:rsidRPr="00000000">
        <w:rPr>
          <w:rtl w:val="0"/>
        </w:rPr>
        <w:t xml:space="preserve">. . .</w:t>
      </w:r>
    </w:p>
    <w:p w:rsidR="00000000" w:rsidDel="00000000" w:rsidP="00000000" w:rsidRDefault="00000000" w:rsidRPr="00000000" w14:paraId="000000A4">
      <w:pPr>
        <w:spacing w:after="240" w:before="240" w:lineRule="auto"/>
        <w:rPr/>
      </w:pPr>
      <w:r w:rsidDel="00000000" w:rsidR="00000000" w:rsidRPr="00000000">
        <w:rPr>
          <w:rtl w:val="0"/>
        </w:rPr>
        <w:t xml:space="preserve">DISSENTING OPINION: Lory D. Rosenberg, Board Member.</w:t>
      </w:r>
    </w:p>
    <w:p w:rsidR="00000000" w:rsidDel="00000000" w:rsidP="00000000" w:rsidRDefault="00000000" w:rsidRPr="00000000" w14:paraId="000000A5">
      <w:pPr>
        <w:spacing w:after="240" w:before="240" w:lineRule="auto"/>
        <w:rPr/>
      </w:pPr>
      <w:r w:rsidDel="00000000" w:rsidR="00000000" w:rsidRPr="00000000">
        <w:rPr>
          <w:rtl w:val="0"/>
        </w:rPr>
        <w:t xml:space="preserve">I respectfully dissent.</w:t>
      </w:r>
    </w:p>
    <w:p w:rsidR="00000000" w:rsidDel="00000000" w:rsidP="00000000" w:rsidRDefault="00000000" w:rsidRPr="00000000" w14:paraId="000000A6">
      <w:pPr>
        <w:spacing w:after="240" w:before="240" w:lineRule="auto"/>
        <w:rPr/>
      </w:pPr>
      <w:r w:rsidDel="00000000" w:rsidR="00000000" w:rsidRPr="00000000">
        <w:rPr>
          <w:rtl w:val="0"/>
        </w:rPr>
        <w:t xml:space="preserve">In denying the appeal before us and designating it as a precedent decision, the Board majority articulates, as an adjunct to its recent precedent decisions governing asylum adjudications, a three-part test related to determining credibility. Notwithstanding my agreement that, theoretically, establishing guidelines furthers the cause of fairly and reasonably assessing evidence in the asylum context where the issues presented often involve life and death consequences, I cannot join this decision.</w:t>
      </w:r>
    </w:p>
    <w:p w:rsidR="00000000" w:rsidDel="00000000" w:rsidP="00000000" w:rsidRDefault="00000000" w:rsidRPr="00000000" w14:paraId="000000A7">
      <w:pPr>
        <w:spacing w:after="240" w:before="240" w:lineRule="auto"/>
        <w:rPr/>
      </w:pPr>
      <w:r w:rsidDel="00000000" w:rsidR="00000000" w:rsidRPr="00000000">
        <w:rPr>
          <w:rtl w:val="0"/>
        </w:rPr>
        <w:t xml:space="preserve">In my opinion, the usefulness of the test announced today, and its value as a means either to assess the factual underpinnings of an asylum seeker’s claim or to determine the legal conclusions we draw under INS v. Cardoza-Fonseca, 480 U.S. 421 (1987), is belied by the outcome reached by the majority. Whatever the intentions of those joining the majority decision, this test was invoked today to deny the existence of a well-founded fear of persecution. . . .</w:t>
      </w:r>
    </w:p>
    <w:p w:rsidR="00000000" w:rsidDel="00000000" w:rsidP="00000000" w:rsidRDefault="00000000" w:rsidRPr="00000000" w14:paraId="000000A8">
      <w:pPr>
        <w:spacing w:after="240" w:before="240" w:lineRule="auto"/>
        <w:rPr/>
      </w:pPr>
      <w:r w:rsidDel="00000000" w:rsidR="00000000" w:rsidRPr="00000000">
        <w:rPr>
          <w:rtl w:val="0"/>
        </w:rPr>
        <w:t xml:space="preserve">In the context of asylum claims, credibility determinations are findings that are inextricably tied to the respondent’s burden of proof and can make or break a claim. I do not agree that the burden of proof imposed generally on asylum seekers by the majority’s test in this case or in its predecessors is an appropriate one. . . .</w:t>
      </w:r>
    </w:p>
    <w:p w:rsidR="00000000" w:rsidDel="00000000" w:rsidP="00000000" w:rsidRDefault="00000000" w:rsidRPr="00000000" w14:paraId="000000A9">
      <w:pPr>
        <w:spacing w:after="240" w:before="240" w:lineRule="auto"/>
        <w:rPr/>
      </w:pPr>
      <w:r w:rsidDel="00000000" w:rsidR="00000000" w:rsidRPr="00000000">
        <w:rPr>
          <w:rtl w:val="0"/>
        </w:rPr>
        <w:t xml:space="preserve">. . . I find the three-part test imposed by the majority to be unreasonable, both in conception and in application, and to fall short of what is required of us by law. Consequently, I dissent and write separately in an effort to clarify both where I believe that the majority has erred, and to suggest what a prudent asylum seeker must do to satisfy the asylum law as we apply it at the Board of Immigration Appeals, which, for most practical purposes, is how we apply it in this country.</w:t>
      </w:r>
    </w:p>
    <w:p w:rsidR="00000000" w:rsidDel="00000000" w:rsidP="00000000" w:rsidRDefault="00000000" w:rsidRPr="00000000" w14:paraId="000000AA">
      <w:pPr>
        <w:spacing w:after="240" w:before="240" w:lineRule="auto"/>
        <w:rPr/>
      </w:pPr>
      <w:r w:rsidDel="00000000" w:rsidR="00000000" w:rsidRPr="00000000">
        <w:rPr>
          <w:rtl w:val="0"/>
        </w:rPr>
        <w:t xml:space="preserve">I. Treatment of Disparities in an Asylum Claim in Relation to the Asylum Seeker’s Credibility and Burden of Proof</w:t>
      </w:r>
    </w:p>
    <w:p w:rsidR="00000000" w:rsidDel="00000000" w:rsidP="00000000" w:rsidRDefault="00000000" w:rsidRPr="00000000" w14:paraId="000000AB">
      <w:pPr>
        <w:spacing w:after="240" w:before="240" w:lineRule="auto"/>
        <w:rPr/>
      </w:pPr>
      <w:r w:rsidDel="00000000" w:rsidR="00000000" w:rsidRPr="00000000">
        <w:rPr>
          <w:rtl w:val="0"/>
        </w:rPr>
        <w:t xml:space="preserve">. . .</w:t>
      </w:r>
    </w:p>
    <w:p w:rsidR="00000000" w:rsidDel="00000000" w:rsidP="00000000" w:rsidRDefault="00000000" w:rsidRPr="00000000" w14:paraId="000000AC">
      <w:pPr>
        <w:spacing w:after="240" w:before="240" w:lineRule="auto"/>
        <w:rPr/>
      </w:pPr>
      <w:r w:rsidDel="00000000" w:rsidR="00000000" w:rsidRPr="00000000">
        <w:rPr>
          <w:rtl w:val="0"/>
        </w:rPr>
        <w:t xml:space="preserve">These basic facts are not controverted or contradicted in any way, although the record contains disparities between the respondent’s application for asylum and the testimony he provided at his hearing with regard to the dates on which he and his family were attacked by members of the opposing political parties. Inasmuch as our process, in practice, does not provide the possibility of a meaningful clarification of these discrepancies, based on the fact that I do not find these discrepancies to go to the heart of the respondent’s claim and the principle that asylum seekers should be given the benefit of the doubt, I would grant asylum.</w:t>
      </w:r>
    </w:p>
    <w:p w:rsidR="00000000" w:rsidDel="00000000" w:rsidP="00000000" w:rsidRDefault="00000000" w:rsidRPr="00000000" w14:paraId="000000AD">
      <w:pPr>
        <w:spacing w:after="240" w:before="240" w:lineRule="auto"/>
        <w:rPr/>
      </w:pPr>
      <w:r w:rsidDel="00000000" w:rsidR="00000000" w:rsidRPr="00000000">
        <w:rPr>
          <w:rtl w:val="0"/>
        </w:rPr>
        <w:t xml:space="preserve">The crux of the matter in this case is whether, despite his having to make corrections during his testimony as to when the events testified to occurred, the respondent failed to provide evidence that is credible. Put another way, is it reasonable, fair, appropriate, or lawful for the majority to uphold the decision of the Immigration Judge that the respondent lacked credibility requiring denial of his claim? I do not think that question can be answered in the affirmative. . . . Nowhere do we propose that an asylum seeker is presumed to be fabricating her claim or otherwise to lack credibility. . . . In other words, there is no presumption that an asylum applicant’s testimony is to be treated as other than truthful.</w:t>
      </w:r>
    </w:p>
    <w:p w:rsidR="00000000" w:rsidDel="00000000" w:rsidP="00000000" w:rsidRDefault="00000000" w:rsidRPr="00000000" w14:paraId="000000AE">
      <w:pPr>
        <w:spacing w:after="240" w:before="240" w:lineRule="auto"/>
        <w:rPr/>
      </w:pPr>
      <w:r w:rsidDel="00000000" w:rsidR="00000000" w:rsidRPr="00000000">
        <w:rPr>
          <w:rtl w:val="0"/>
        </w:rPr>
        <w:t xml:space="preserve">But that is not what we are holding here today, is it? Today, according to the majority, we are stating that certain discrepancies, alleged to be “actual” and supported by allegedly specific and cogent reasons, undermine the respondent’s claim of persecution. That an asylum seeker’s testimony before the Immigration Judge is internally consistent does not seem to matter. That an asylum seeker provided an explanation for discrepancies between his written application and his testimony regarding the dates he assigned to events that make up the core of his claim of persecution also is disregarded.</w:t>
      </w:r>
    </w:p>
    <w:p w:rsidR="00000000" w:rsidDel="00000000" w:rsidP="00000000" w:rsidRDefault="00000000" w:rsidRPr="00000000" w14:paraId="000000AF">
      <w:pPr>
        <w:spacing w:after="240" w:before="240" w:lineRule="auto"/>
        <w:rPr/>
      </w:pPr>
      <w:r w:rsidDel="00000000" w:rsidR="00000000" w:rsidRPr="00000000">
        <w:rPr>
          <w:rtl w:val="0"/>
        </w:rPr>
        <w:t xml:space="preserve">A. Proper Allocation of Presumptions and Burdens</w:t>
      </w:r>
    </w:p>
    <w:p w:rsidR="00000000" w:rsidDel="00000000" w:rsidP="00000000" w:rsidRDefault="00000000" w:rsidRPr="00000000" w14:paraId="000000B0">
      <w:pPr>
        <w:spacing w:after="240" w:before="240" w:lineRule="auto"/>
        <w:rPr/>
      </w:pPr>
      <w:r w:rsidDel="00000000" w:rsidR="00000000" w:rsidRPr="00000000">
        <w:rPr>
          <w:rtl w:val="0"/>
        </w:rPr>
        <w:t xml:space="preserve">The majority treats the disparities in the respondent’s recitation of the dates on which the attacks against him and his family occurred at worst, as revealing his claim, in its entirety, to be a sham, and at best, as defeating his burden of proof. Rather than rule on the merits of the respondent’s appeal on the record as a whole, the majority has chosen to sidestep that determination and curtail administrative appellate review in favor of what amounts to a presumption that any discrepancies in the record made in the case of an asylum seeker cast doubt on the entirety of his claim, relieving us of our responsibility to review his claim on appeal. . . . Nevertheless, given the cited disparities in the record before us, the critical question for both the Immigration Judge and the Board is — or should be — what further steps should we take to ascertain what occurred and to judge the respondent’s claim? . . .</w:t>
      </w:r>
    </w:p>
    <w:p w:rsidR="00000000" w:rsidDel="00000000" w:rsidP="00000000" w:rsidRDefault="00000000" w:rsidRPr="00000000" w14:paraId="000000B1">
      <w:pPr>
        <w:spacing w:after="240" w:before="240" w:lineRule="auto"/>
        <w:rPr/>
      </w:pPr>
      <w:r w:rsidDel="00000000" w:rsidR="00000000" w:rsidRPr="00000000">
        <w:rPr>
          <w:rtl w:val="0"/>
        </w:rPr>
        <w:t xml:space="preserve">If we wish to reduce asylum admissions and simply deny the claim outright, we can pinpoint every discrepancy, claiming that each goes to the heart of the claim. We can applaud, or at least not criticize, the Immigration Judge, no matter what shortcomings appear in his or her decision and what outstanding questions or concerns remain in our minds. We can differentiate our role as an appellate administrative Board and simply, narrowly interpret our appellate authority and defer to the decisions made in the denials appealed to us. And we can, at the same time, alleviate any burden on the Immigration Judge to actually determine the underlying facts making up the asserted claim of persecution. In my view, in imposing its three-part test, the majority has elected to do all of the foregoing. . . .</w:t>
      </w:r>
    </w:p>
    <w:p w:rsidR="00000000" w:rsidDel="00000000" w:rsidP="00000000" w:rsidRDefault="00000000" w:rsidRPr="00000000" w14:paraId="000000B2">
      <w:pPr>
        <w:spacing w:after="240" w:before="240" w:lineRule="auto"/>
        <w:rPr/>
      </w:pPr>
      <w:r w:rsidDel="00000000" w:rsidR="00000000" w:rsidRPr="00000000">
        <w:rPr>
          <w:rtl w:val="0"/>
        </w:rPr>
        <w:t xml:space="preserve">As a practical matter, a presumption, at worst of fraud and at best of inadequacy, has insinuated its way into all asylum adjudications made by the Board. I venture to guess that such a presumption exists in many adjudications of asylum claims conducted by Immigration Judges. By contrast, this is not consistent with the humanitarian nature of asylum determinations. . . .</w:t>
      </w:r>
    </w:p>
    <w:p w:rsidR="00000000" w:rsidDel="00000000" w:rsidP="00000000" w:rsidRDefault="00000000" w:rsidRPr="00000000" w14:paraId="000000B3">
      <w:pPr>
        <w:spacing w:after="240" w:before="240" w:lineRule="auto"/>
        <w:rPr/>
      </w:pPr>
      <w:r w:rsidDel="00000000" w:rsidR="00000000" w:rsidRPr="00000000">
        <w:rPr>
          <w:rtl w:val="0"/>
        </w:rPr>
        <w:t xml:space="preserve">There is no basis in the law for such a presumption. Indeed, in Matter of S-M-J- [ ], we cited with approval the guidelines for asylum adjudicators set forth in the Handbook . . . observing that “while the burden of proof in principle rests on the applicant, the duty to ascertain and evaluate all the relevant facts is shared between the applicant and the examiner.” . . . Moreover, we advised that it is the Immigration Judge’s role to “ensure that the applicant presents his case as fully as possible and with all available evidence.” . . . Our citation of these provisions is consistent with the teaching of the Handbook that “it may be necessary for the examiner to clarify any apparent inconsistencies and to resolve any contradictions in a further interview, and to find an explanation for any misrepresentation or concealment of material facts.” Handbook [¶199].</w:t>
      </w:r>
    </w:p>
    <w:p w:rsidR="00000000" w:rsidDel="00000000" w:rsidP="00000000" w:rsidRDefault="00000000" w:rsidRPr="00000000" w14:paraId="000000B4">
      <w:pPr>
        <w:spacing w:after="240" w:before="240" w:lineRule="auto"/>
        <w:rPr/>
      </w:pPr>
      <w:r w:rsidDel="00000000" w:rsidR="00000000" w:rsidRPr="00000000">
        <w:rPr>
          <w:rtl w:val="0"/>
        </w:rPr>
        <w:t xml:space="preserve">In addition, . . . an application for asylum requires the asylum seeker’s testimony. [While] the minimum testimonial requirement is to swear to the truth of the written application, rarely does the examination stop at this point. Indeed, the Board specifically contemplated that there would also be instances “where an alien establishes eligibility for asylum by means of his oral testimony when such eligibility would not have been established by the documents alone.” . . . I note that the Handbook . . . also anticipates that completion of a “standard questionnaire” ordinarily will not provide an adequate basis on which to judge the claim, and that it will be necessary to gain the confidence of the asylum seeker “in order to assist the latter in putting forward his case and in fully explaining his opinions and feelings.” [Handbook ¶200].</w:t>
      </w:r>
    </w:p>
    <w:p w:rsidR="00000000" w:rsidDel="00000000" w:rsidP="00000000" w:rsidRDefault="00000000" w:rsidRPr="00000000" w14:paraId="000000B5">
      <w:pPr>
        <w:spacing w:after="240" w:before="240" w:lineRule="auto"/>
        <w:rPr/>
      </w:pPr>
      <w:r w:rsidDel="00000000" w:rsidR="00000000" w:rsidRPr="00000000">
        <w:rPr>
          <w:rtl w:val="0"/>
        </w:rPr>
        <w:t xml:space="preserve">These authorities seem to envision the role of the adjudicator as one of assisting the asylum seeker to clarify and substantiate his case, not as one of defeating his asylum claim by contrasting his application with his testimony. None of these authorities support a sub silentio presumption of fraud or failure to meet the burden of proof, a presumption which I believe the majority has applied and will continue to apply under the test announced today.</w:t>
      </w:r>
    </w:p>
    <w:p w:rsidR="00000000" w:rsidDel="00000000" w:rsidP="00000000" w:rsidRDefault="00000000" w:rsidRPr="00000000" w14:paraId="000000B6">
      <w:pPr>
        <w:spacing w:after="240" w:before="240" w:lineRule="auto"/>
        <w:rPr/>
      </w:pPr>
      <w:r w:rsidDel="00000000" w:rsidR="00000000" w:rsidRPr="00000000">
        <w:rPr>
          <w:rtl w:val="0"/>
        </w:rPr>
        <w:t xml:space="preserve">Although the respondent may bear the burden of proof, and although he may be represented by counsel, a hearing involving a claim for asylum is not merely an adversarial contest on an abstract or intellectual level in which two parties spar with one another until one loses. A removal hearing involving the possibility of deportation, even when the threat to life and safety are absent, is not a sporting event. The Board has long acknowledged that ready dismissal of a respondent’s claims on technicalities will not do. . . . While it is true that the Immigration and Naturalization Service bears some responsibility in this regard as well, adjudicators, including Immigration Judges and the Board, should assist in perfecting and clarifying the asylum claims presented to them. In my view, the majority’s decision obviates that responsibility.</w:t>
      </w:r>
    </w:p>
    <w:p w:rsidR="00000000" w:rsidDel="00000000" w:rsidP="00000000" w:rsidRDefault="00000000" w:rsidRPr="00000000" w14:paraId="000000B7">
      <w:pPr>
        <w:spacing w:after="240" w:before="240" w:lineRule="auto"/>
        <w:rPr/>
      </w:pPr>
      <w:r w:rsidDel="00000000" w:rsidR="00000000" w:rsidRPr="00000000">
        <w:rPr>
          <w:rtl w:val="0"/>
        </w:rPr>
        <w:t xml:space="preserve">B. The Substantial Evidence Standard Requires Consideration of the Record as a Whole</w:t>
      </w:r>
    </w:p>
    <w:p w:rsidR="00000000" w:rsidDel="00000000" w:rsidP="00000000" w:rsidRDefault="00000000" w:rsidRPr="00000000" w14:paraId="000000B8">
      <w:pPr>
        <w:spacing w:after="240" w:before="240" w:lineRule="auto"/>
        <w:rPr/>
      </w:pPr>
      <w:r w:rsidDel="00000000" w:rsidR="00000000" w:rsidRPr="00000000">
        <w:rPr>
          <w:rtl w:val="0"/>
        </w:rPr>
        <w:t xml:space="preserve">There is longstanding authority recognizing the importance of testimony. . . . I do not read these authorities as permitting us to rely on testimony that, although internally consistent, appears to contain discrepancies in relation to a written asylum application, as a basis to deny asylum claims. . . .</w:t>
      </w:r>
    </w:p>
    <w:p w:rsidR="00000000" w:rsidDel="00000000" w:rsidP="00000000" w:rsidRDefault="00000000" w:rsidRPr="00000000" w14:paraId="000000B9">
      <w:pPr>
        <w:spacing w:after="240" w:before="240" w:lineRule="auto"/>
        <w:rPr/>
      </w:pPr>
      <w:r w:rsidDel="00000000" w:rsidR="00000000" w:rsidRPr="00000000">
        <w:rPr>
          <w:rtl w:val="0"/>
        </w:rPr>
        <w:t xml:space="preserve">Rather, I read these authorities as emphasizing the importance of testimony in the asylum context, and as requiring us to consider and clarify explanations for any inconsistencies between testimony and a written application. I view it as appropriate to go even further and seek out the actual facts underlying the claim asserted by the asylum seeker. [Handbook ¶¶196, 199, 200, 205.] Moreover, recognition of the special circumstances faced by persons seeking asylum has not been obliterated, at least on paper. . . .</w:t>
      </w:r>
    </w:p>
    <w:p w:rsidR="00000000" w:rsidDel="00000000" w:rsidP="00000000" w:rsidRDefault="00000000" w:rsidRPr="00000000" w14:paraId="000000BA">
      <w:pPr>
        <w:spacing w:after="240" w:before="240" w:lineRule="auto"/>
        <w:rPr/>
      </w:pPr>
      <w:r w:rsidDel="00000000" w:rsidR="00000000" w:rsidRPr="00000000">
        <w:rPr>
          <w:rtl w:val="0"/>
        </w:rPr>
        <w:t xml:space="preserve">. . . [Although] the majority decision in Matter of S-M-J- emphasizes that the Immigration Judge is expected to assist in clarifying and bringing out evidence in support of the asylum seeker’s claim, this record is devoid of any indication that the Immigration Judge took any steps to encourage or assist the applicant in providing any such additional evidence or clarification.</w:t>
      </w:r>
    </w:p>
    <w:p w:rsidR="00000000" w:rsidDel="00000000" w:rsidP="00000000" w:rsidRDefault="00000000" w:rsidRPr="00000000" w14:paraId="000000BB">
      <w:pPr>
        <w:spacing w:after="240" w:before="240" w:lineRule="auto"/>
        <w:rPr/>
      </w:pPr>
      <w:r w:rsidDel="00000000" w:rsidR="00000000" w:rsidRPr="00000000">
        <w:rPr>
          <w:rtl w:val="0"/>
        </w:rPr>
        <w:t xml:space="preserve">Circumstances such as these, in which the Immigration Judge fails to develop the facts during a hearing on an asylum application and then criticizes an asylum seeker for presenting inconsistent evidence or not presenting some evidence the Immigration Judge finds to be important, should not constitute a reasonable basis to dismiss an asylum claim on the grounds the respondent did not establish his credibility or meet his burden of proof. But it is under circumstances such as these that the majority now is pronouncing a deferential test that relies almost exclusively and uncritically on the Immigration Judge’s conduct of the hearing.</w:t>
      </w:r>
    </w:p>
    <w:p w:rsidR="00000000" w:rsidDel="00000000" w:rsidP="00000000" w:rsidRDefault="00000000" w:rsidRPr="00000000" w14:paraId="000000BC">
      <w:pPr>
        <w:spacing w:after="240" w:before="240" w:lineRule="auto"/>
        <w:rPr/>
      </w:pPr>
      <w:r w:rsidDel="00000000" w:rsidR="00000000" w:rsidRPr="00000000">
        <w:rPr>
          <w:rtl w:val="0"/>
        </w:rPr>
        <w:t xml:space="preserve">The majority’s decision in this and other cases fails to consider all of the evidence of record and to weigh it fairly in its totality. Regrettably, the majority’s decision seems to prefer the quickest way out of exercising our authority to adjudicate on review the tough questions posed by asylum claims, and opts for acquiescence to the decision of an individual Immigration Judge. . . .</w:t>
      </w:r>
    </w:p>
    <w:p w:rsidR="00000000" w:rsidDel="00000000" w:rsidP="00000000" w:rsidRDefault="00000000" w:rsidRPr="00000000" w14:paraId="000000BD">
      <w:pPr>
        <w:spacing w:after="240" w:before="240" w:lineRule="auto"/>
        <w:rPr/>
      </w:pPr>
      <w:r w:rsidDel="00000000" w:rsidR="00000000" w:rsidRPr="00000000">
        <w:rPr>
          <w:rtl w:val="0"/>
        </w:rPr>
        <w:t xml:space="preserve">. . .</w:t>
      </w:r>
    </w:p>
    <w:p w:rsidR="00000000" w:rsidDel="00000000" w:rsidP="00000000" w:rsidRDefault="00000000" w:rsidRPr="00000000" w14:paraId="000000BE">
      <w:pPr>
        <w:spacing w:after="240" w:before="240" w:lineRule="auto"/>
        <w:rPr/>
      </w:pPr>
      <w:r w:rsidDel="00000000" w:rsidR="00000000" w:rsidRPr="00000000">
        <w:rPr>
          <w:rtl w:val="0"/>
        </w:rPr>
        <w:t xml:space="preserve">II. Analysis of the Majority’s New Test as Applied</w:t>
      </w:r>
    </w:p>
    <w:p w:rsidR="00000000" w:rsidDel="00000000" w:rsidP="00000000" w:rsidRDefault="00000000" w:rsidRPr="00000000" w14:paraId="000000BF">
      <w:pPr>
        <w:spacing w:after="240" w:before="240" w:lineRule="auto"/>
        <w:rPr/>
      </w:pPr>
      <w:r w:rsidDel="00000000" w:rsidR="00000000" w:rsidRPr="00000000">
        <w:rPr>
          <w:rtl w:val="0"/>
        </w:rPr>
        <w:t xml:space="preserve">Let us see how this respondent rates under the majority’s new test for upholding adverse credibility findings (supporting the dismissal of asylum claims):</w:t>
      </w:r>
    </w:p>
    <w:p w:rsidR="00000000" w:rsidDel="00000000" w:rsidP="00000000" w:rsidRDefault="00000000" w:rsidRPr="00000000" w14:paraId="000000C0">
      <w:pPr>
        <w:spacing w:after="240" w:before="240" w:lineRule="auto"/>
        <w:rPr/>
      </w:pPr>
      <w:r w:rsidDel="00000000" w:rsidR="00000000" w:rsidRPr="00000000">
        <w:rPr>
          <w:rtl w:val="0"/>
        </w:rPr>
        <w:t xml:space="preserve">First, the “inconsistencies and omissions actually present” (and going to the heart of the claim) dismissal ground. According to the majority the respondent failed the three-part test because he was inconsistent about the dates when things happened to him. The majority twists this to mean he was inconsistent about matters going to the heart of his claim, when in fact that is not true, and when, in fact, the very circuit they cite in support of this test has stated quite distinctly and repeatedly that errors about dates do not necessarily undermine a claim. . . .</w:t>
      </w:r>
    </w:p>
    <w:p w:rsidR="00000000" w:rsidDel="00000000" w:rsidP="00000000" w:rsidRDefault="00000000" w:rsidRPr="00000000" w14:paraId="000000C1">
      <w:pPr>
        <w:spacing w:after="240" w:before="240" w:lineRule="auto"/>
        <w:rPr/>
      </w:pPr>
      <w:r w:rsidDel="00000000" w:rsidR="00000000" w:rsidRPr="00000000">
        <w:rPr>
          <w:rtl w:val="0"/>
        </w:rPr>
        <w:t xml:space="preserve">The essence of the respondent’s claim is consistent. He has been an active member of the Jatiyo Party and nothing in the record directly controverts or contradicts that asserted fact; he held a particular position as a local secretary and nothing controverts or contradicts that asserted fact. He was attacked and injured, and his home was invaded and his family questioned, and nothing controverts or contradicts those asserted facts. He attributed the attacks and harm he suffered to the BNP, who he contends have worked in the service of the ruling party that ousted General Ershad, who led the Jatiyo Party to which he belonged, and nothing in the record controverts or contradicts those asserted facts; in fact the Department of State reports in the record support it.</w:t>
      </w:r>
    </w:p>
    <w:p w:rsidR="00000000" w:rsidDel="00000000" w:rsidP="00000000" w:rsidRDefault="00000000" w:rsidRPr="00000000" w14:paraId="000000C2">
      <w:pPr>
        <w:spacing w:after="240" w:before="240" w:lineRule="auto"/>
        <w:rPr/>
      </w:pPr>
      <w:r w:rsidDel="00000000" w:rsidR="00000000" w:rsidRPr="00000000">
        <w:rPr>
          <w:rtl w:val="0"/>
        </w:rPr>
        <w:t xml:space="preserve">. . . [To] the extent a hearing before an Immigration Judge is an adversarial one, it is the Service, rather than the Immigration Judge or the Board, who should be the respondent’s adversary. In this case, the Service has submitted no evidence to contravene the respondent’s claim. I note that the respondent’s testimony at the hearing is internally consistent. It is his asylum application (made just after he fled Bangladesh, came to the United States, and applied for asylum), and his testimony at the hearing, where he provided significant detail not included in his application, that differs. This testimony is competent evidence.</w:t>
      </w:r>
    </w:p>
    <w:p w:rsidR="00000000" w:rsidDel="00000000" w:rsidP="00000000" w:rsidRDefault="00000000" w:rsidRPr="00000000" w14:paraId="000000C3">
      <w:pPr>
        <w:spacing w:after="240" w:before="240" w:lineRule="auto"/>
        <w:rPr/>
      </w:pPr>
      <w:r w:rsidDel="00000000" w:rsidR="00000000" w:rsidRPr="00000000">
        <w:rPr>
          <w:rtl w:val="0"/>
        </w:rPr>
        <w:t xml:space="preserve">In addition, the respondent provided a reasonable explanation — that he has problems remembering dates — for the inconsistencies in dates that the majority finds are “actually present.” This explanation is plausible in light of the fact that there is no evidence that the respondent normally has a razor sharp memory and is posing at having a bad memory to cover up bungling a fabricated claim. It also comports with what we know generally about the effects of trauma on memory. When he provided the basics of his asylum claim in completing the application, the respondent had just arrived in the United States and his focus was on quickly relating what had happened to him and what he feared would happen. When he testified, he was more removed from the exigencies that prompted his flight, and was in a position to elaborate and provide the kinds of detail and specifics we expect of asylum applicants.</w:t>
      </w:r>
    </w:p>
    <w:p w:rsidR="00000000" w:rsidDel="00000000" w:rsidP="00000000" w:rsidRDefault="00000000" w:rsidRPr="00000000" w14:paraId="000000C4">
      <w:pPr>
        <w:spacing w:after="240" w:before="240" w:lineRule="auto"/>
        <w:rPr/>
      </w:pPr>
      <w:r w:rsidDel="00000000" w:rsidR="00000000" w:rsidRPr="00000000">
        <w:rPr>
          <w:rtl w:val="0"/>
        </w:rPr>
        <w:t xml:space="preserve">What, then, is undermining his claim? Could it be that what is undermining his claim is the majority’s new test and how the majority has elected to apply it? In particular, did the Immigration Judge provide “numerous examples” of inconsistencies as the majority claims he did? No. He provided two examples of misstated dates and concluded that these “cast doubt on the reliability of the respondent’s claim in its entirety.”</w:t>
      </w:r>
    </w:p>
    <w:p w:rsidR="00000000" w:rsidDel="00000000" w:rsidP="00000000" w:rsidRDefault="00000000" w:rsidRPr="00000000" w14:paraId="000000C5">
      <w:pPr>
        <w:spacing w:after="240" w:before="240" w:lineRule="auto"/>
        <w:rPr/>
      </w:pPr>
      <w:r w:rsidDel="00000000" w:rsidR="00000000" w:rsidRPr="00000000">
        <w:rPr>
          <w:rtl w:val="0"/>
        </w:rPr>
        <w:t xml:space="preserve">Did the Immigration Judge provide a “comprehensive decision” as the majority claims he did? No, he did not. He provided a decision that raised questions he never pursued during the hearing, although he had the respondent right before him and he had the authority to inquire, to clarify, and even to assist the respondent in “putting forward his case and in fully explaining his opinions and feelings,” as the Handbook contemplates an adjudicator might do in determining the truth of a claim involving undeniably politically motivated harm. Handbook [¶200].</w:t>
      </w:r>
    </w:p>
    <w:p w:rsidR="00000000" w:rsidDel="00000000" w:rsidP="00000000" w:rsidRDefault="00000000" w:rsidRPr="00000000" w14:paraId="000000C6">
      <w:pPr>
        <w:spacing w:after="240" w:before="240" w:lineRule="auto"/>
        <w:rPr/>
      </w:pPr>
      <w:r w:rsidDel="00000000" w:rsidR="00000000" w:rsidRPr="00000000">
        <w:rPr>
          <w:rtl w:val="0"/>
        </w:rPr>
        <w:t xml:space="preserve">Second, the “Immigration Judge relied on specific and cogent reasons” dismissal ground. It may be specific to say that the respondent got the dates wrong or gave differing dates on which the reported incidents occurred. But, I do not consider reliance on inconsistencies regarding the dates of traumatic occurrences that took place 4 or 5 years before the date on which they were either recorded or discussed to constitute a cogent reason for rejecting the heart of the claim — that this asylum seeker was persecuted and continues to be sought out on account of his opinion and his affiliation with a political party that is not in power. This is particularly so when the record reflects evidence that the respondent had problems with his memory.</w:t>
      </w:r>
    </w:p>
    <w:p w:rsidR="00000000" w:rsidDel="00000000" w:rsidP="00000000" w:rsidRDefault="00000000" w:rsidRPr="00000000" w14:paraId="000000C7">
      <w:pPr>
        <w:spacing w:after="240" w:before="240" w:lineRule="auto"/>
        <w:rPr/>
      </w:pPr>
      <w:r w:rsidDel="00000000" w:rsidR="00000000" w:rsidRPr="00000000">
        <w:rPr>
          <w:rtl w:val="0"/>
        </w:rPr>
        <w:t xml:space="preserve">Given their apologetic protestations that they recognize how an applicant who fled persecution may have trouble remembering dates, I doubt the majority believes such reasons are cogent either. . . . The majority, however, is content to apply a new “too big a gap, too cramped a memory” rule as a corollary to part two of their new test. This new corollary places significance on the breadth of difference in times of persecutory events reported, as though getting the dates of these occurrences wrong by 1 month or 6 weeks might be reasonable, but testifying to a 2-year discrepancy is unreasonable.</w:t>
      </w:r>
    </w:p>
    <w:p w:rsidR="00000000" w:rsidDel="00000000" w:rsidP="00000000" w:rsidRDefault="00000000" w:rsidRPr="00000000" w14:paraId="000000C8">
      <w:pPr>
        <w:spacing w:after="240" w:before="240" w:lineRule="auto"/>
        <w:rPr/>
      </w:pPr>
      <w:r w:rsidDel="00000000" w:rsidR="00000000" w:rsidRPr="00000000">
        <w:rPr>
          <w:rtl w:val="0"/>
        </w:rPr>
        <w:t xml:space="preserve">The new rule also seems to suggest that conflating the events forming the heart of one’s claim into a 1-month period is “even more significant.” . . . As with the first of the questions associated with this new “too big a gap” corollary, the majority opinion fails to indicate why this error is probative of a finding the respondent provided incredible testimony. There is no evidence that such an error reeks of fabrication because it was off by more than a year or because the respondent visualized or recalled the attacks on him and his home as occurring in a compressed period of time. Furthermore, the respondent’s halting and hesitant manner is equally or more attributable to poor memory and nervousness for legitimate reasons, as it is to fabrication.</w:t>
      </w:r>
    </w:p>
    <w:p w:rsidR="00000000" w:rsidDel="00000000" w:rsidP="00000000" w:rsidRDefault="00000000" w:rsidRPr="00000000" w14:paraId="000000C9">
      <w:pPr>
        <w:spacing w:after="240" w:before="240" w:lineRule="auto"/>
        <w:rPr/>
      </w:pPr>
      <w:r w:rsidDel="00000000" w:rsidR="00000000" w:rsidRPr="00000000">
        <w:rPr>
          <w:rtl w:val="0"/>
        </w:rPr>
        <w:t xml:space="preserve">The majority’s support of the Immigration Judge’s reliance on disparities in dates, where he has sought no explanation during the course of the hearing, is only a step away from the Board’s looking to every other possible reason for a respondent facing threatened harm rather than accepting that the nature of the harm was political. . . . The message given is, let us not bother to determine what really went on during the period respondent remained in Bangladesh between Ershad’s ouster and the time the respondent fled, just as we shall not bother to fairly consider what is at the root of the respondent’s experiences. In either case, the respondent need not be considered for a grant of asylum if we can settle on a basis to deny his claim.</w:t>
      </w:r>
    </w:p>
    <w:p w:rsidR="00000000" w:rsidDel="00000000" w:rsidP="00000000" w:rsidRDefault="00000000" w:rsidRPr="00000000" w14:paraId="000000CA">
      <w:pPr>
        <w:spacing w:after="240" w:before="240" w:lineRule="auto"/>
        <w:rPr/>
      </w:pPr>
      <w:r w:rsidDel="00000000" w:rsidR="00000000" w:rsidRPr="00000000">
        <w:rPr>
          <w:rtl w:val="0"/>
        </w:rPr>
        <w:t xml:space="preserve">Third, the rule of explaining on appeal. Although the majority says they require only a convincing explanation for discrepancies and omissions, they have introduced, in effect, a super-burden. We already hold that the burden of proof is the respondent’s. . . . Now we hold that in the event he doesn’t get a fair hearing in which the Immigration Judge follows the guidelines we have articulated in our precedent decision and seeks an explanation or assist the respondent in setting forth a consistent and coherent claim during the hearing, it is the respondent’s fault if he does not present the explanations necessary to clarify discrepancies on appeal.</w:t>
      </w:r>
    </w:p>
    <w:p w:rsidR="00000000" w:rsidDel="00000000" w:rsidP="00000000" w:rsidRDefault="00000000" w:rsidRPr="00000000" w14:paraId="000000CB">
      <w:pPr>
        <w:spacing w:after="240" w:before="240" w:lineRule="auto"/>
        <w:rPr/>
      </w:pPr>
      <w:r w:rsidDel="00000000" w:rsidR="00000000" w:rsidRPr="00000000">
        <w:rPr>
          <w:rtl w:val="0"/>
        </w:rPr>
        <w:t xml:space="preserve">Now, I certainly do not disagree that it is appropriate for a respondent to provide explanations for discrepancies in the record. But the respondent may not be able to do so during the course of the hearing, because oftentimes the respondent is not aware that the Immigration Judge considers corrections or clarifications made in the course of testimony or on cross-examination to be inconsistencies that undermine the respondent’s veracity. Rather, the respondent believes these changes are intended to set the record straight and that they will be taken as clarifying simple errors resulting from language, trauma, memory, confusion, anxiety, or any number of other impediments likely to be experienced by any asylum seeker.</w:t>
      </w:r>
    </w:p>
    <w:p w:rsidR="00000000" w:rsidDel="00000000" w:rsidP="00000000" w:rsidRDefault="00000000" w:rsidRPr="00000000" w14:paraId="000000CC">
      <w:pPr>
        <w:spacing w:after="240" w:before="240" w:lineRule="auto"/>
        <w:rPr/>
      </w:pPr>
      <w:r w:rsidDel="00000000" w:rsidR="00000000" w:rsidRPr="00000000">
        <w:rPr>
          <w:rtl w:val="0"/>
        </w:rPr>
        <w:t xml:space="preserve">The asylum seeker is not necessarily approaching the hearing with the understanding that the Immigration Judge or the Board is apt to think that he is fabricating his story — either from the outset, or once any discrepancy arises. Unaware that the Immigration Judge — or until recently the Board — will rely on these discrepancies, even if corrected, to deny the claim, the respondent may persist in the belief that because he responded to the questions presented and clarified the facts, providing the correct dates, his claim no longer contains discrepancies or requires explanations.</w:t>
      </w:r>
    </w:p>
    <w:p w:rsidR="00000000" w:rsidDel="00000000" w:rsidP="00000000" w:rsidRDefault="00000000" w:rsidRPr="00000000" w14:paraId="000000CD">
      <w:pPr>
        <w:spacing w:after="240" w:before="240" w:lineRule="auto"/>
        <w:rPr/>
      </w:pPr>
      <w:r w:rsidDel="00000000" w:rsidR="00000000" w:rsidRPr="00000000">
        <w:rPr>
          <w:rtl w:val="0"/>
        </w:rPr>
        <w:t xml:space="preserve">. . .</w:t>
      </w:r>
    </w:p>
    <w:p w:rsidR="00000000" w:rsidDel="00000000" w:rsidP="00000000" w:rsidRDefault="00000000" w:rsidRPr="00000000" w14:paraId="000000CE">
      <w:pPr>
        <w:spacing w:after="240" w:before="240" w:lineRule="auto"/>
        <w:rPr/>
      </w:pPr>
      <w:r w:rsidDel="00000000" w:rsidR="00000000" w:rsidRPr="00000000">
        <w:rPr>
          <w:rtl w:val="0"/>
        </w:rPr>
        <w:t xml:space="preserve">III. Appropriate and Necessary Steps to Comply with the Board’s Rule</w:t>
      </w:r>
    </w:p>
    <w:p w:rsidR="00000000" w:rsidDel="00000000" w:rsidP="00000000" w:rsidRDefault="00000000" w:rsidRPr="00000000" w14:paraId="000000CF">
      <w:pPr>
        <w:spacing w:after="240" w:before="240" w:lineRule="auto"/>
        <w:rPr/>
      </w:pPr>
      <w:r w:rsidDel="00000000" w:rsidR="00000000" w:rsidRPr="00000000">
        <w:rPr>
          <w:rtl w:val="0"/>
        </w:rPr>
        <w:t xml:space="preserve">In my view, the Board’s rule, while facially reasonable and certainly workable as used by federal circuit courts of appeal, imposes unreasonable and unrealistic expectations as applied, which conflict with accepted norms and guidelines for administrative asylum adjudications. Since our decisions are equally binding on represented and unrepresented asylum seekers alike, I feel it appropriate to warn and notify all asylum seekers directly concerning the practical requirements imposed by today’s decision.</w:t>
      </w:r>
    </w:p>
    <w:p w:rsidR="00000000" w:rsidDel="00000000" w:rsidP="00000000" w:rsidRDefault="00000000" w:rsidRPr="00000000" w14:paraId="000000D0">
      <w:pPr>
        <w:spacing w:after="240" w:before="240" w:lineRule="auto"/>
        <w:rPr/>
      </w:pPr>
      <w:r w:rsidDel="00000000" w:rsidR="00000000" w:rsidRPr="00000000">
        <w:rPr>
          <w:rtl w:val="0"/>
        </w:rPr>
        <w:t xml:space="preserve">First, do not, under any circumstances, make any false statements or simply sign off on an application prepared for you by someone else. Make certain that you understand and agree with each and every statement made in your asylum application before signing it.</w:t>
      </w:r>
    </w:p>
    <w:p w:rsidR="00000000" w:rsidDel="00000000" w:rsidP="00000000" w:rsidRDefault="00000000" w:rsidRPr="00000000" w14:paraId="000000D1">
      <w:pPr>
        <w:spacing w:after="240" w:before="240" w:lineRule="auto"/>
        <w:rPr/>
      </w:pPr>
      <w:r w:rsidDel="00000000" w:rsidR="00000000" w:rsidRPr="00000000">
        <w:rPr>
          <w:rtl w:val="0"/>
        </w:rPr>
        <w:t xml:space="preserve">If you have already submitted an application, or your case in on appeal to the Board, have someone help you to review it at the soonest possible moment. Make sure to correct any statements that are not accurate or true according to your own understanding and experience. If you need to correct any statements or any part of the application, make sure you also explain in detail in a sworn affidavit why you need to correct it. If you are not accustomed to explaining so much about the reasons that you do things, explain that.</w:t>
      </w:r>
    </w:p>
    <w:p w:rsidR="00000000" w:rsidDel="00000000" w:rsidP="00000000" w:rsidRDefault="00000000" w:rsidRPr="00000000" w14:paraId="000000D2">
      <w:pPr>
        <w:spacing w:after="240" w:before="240" w:lineRule="auto"/>
        <w:rPr/>
      </w:pPr>
      <w:r w:rsidDel="00000000" w:rsidR="00000000" w:rsidRPr="00000000">
        <w:rPr>
          <w:rtl w:val="0"/>
        </w:rPr>
        <w:t xml:space="preserve">Second, in preparing your asylum claim, find someone who you can trust to tell the deepest and possibly the most painful secrets of your life. Search your memory, make notes, and check with others who shared your experiences to make sure of every detail, and state anything and everything of relevance that ever occurred relating to your claim of persecution in your initial application. Hire a translator, after a thorough screening of several candidates, who is going to translate every nuance of your statements and hire a second one to check the work of the first.</w:t>
      </w:r>
    </w:p>
    <w:p w:rsidR="00000000" w:rsidDel="00000000" w:rsidP="00000000" w:rsidRDefault="00000000" w:rsidRPr="00000000" w14:paraId="000000D3">
      <w:pPr>
        <w:spacing w:after="240" w:before="240" w:lineRule="auto"/>
        <w:rPr/>
      </w:pPr>
      <w:r w:rsidDel="00000000" w:rsidR="00000000" w:rsidRPr="00000000">
        <w:rPr>
          <w:rtl w:val="0"/>
        </w:rPr>
        <w:t xml:space="preserve">Make sure to articulate your story in a manner that would be best understood by a college educated adjudicator, because that is who will evaluate your claim. That is, be as articulate as possible, but do not use words that you cannot define, or allow whoever is representing you to use words other than those you yourself understand, because it is likely that you will be questioned about them during the hearing and if you cannot explain what they mean, your testimony will be discredited.</w:t>
      </w:r>
    </w:p>
    <w:p w:rsidR="00000000" w:rsidDel="00000000" w:rsidP="00000000" w:rsidRDefault="00000000" w:rsidRPr="00000000" w14:paraId="000000D4">
      <w:pPr>
        <w:spacing w:after="240" w:before="240" w:lineRule="auto"/>
        <w:rPr/>
      </w:pPr>
      <w:r w:rsidDel="00000000" w:rsidR="00000000" w:rsidRPr="00000000">
        <w:rPr>
          <w:rtl w:val="0"/>
        </w:rPr>
        <w:t xml:space="preserve">Third, to corroborate your claims, obtain and submit official documents or other evidence such as affidavits, letters, lab reports, certificates, and any other document that verifies your identity, your membership or affiliation, your beliefs, and any harm or threats of harm you experienced. This should include verification of your shock, terror, panic, fear, depression, sorrow, or grief, and your medical or hospital reports made at the time of any incidents involving arrest or physical harm, or other evidence that supports your story. Before submitting this evidence, have the letters or certificates checked both by a forensics expert and an expert familiar with the circumstances in your country. Get a sworn and notarized statement concerning the paper on which the information is written, the credentials of the person making the statement or certificate, and a description of how, where, and when official documents are issued, who prepares them, how, where, and when you got them, and, if possible, provide an explanation for any variance from the normal condition of the document, in terms of the ink used on the document, the seals stamped on the document, the condition of the paper, and how the documents were either taken out of the country or delivered to you.</w:t>
      </w:r>
    </w:p>
    <w:p w:rsidR="00000000" w:rsidDel="00000000" w:rsidP="00000000" w:rsidRDefault="00000000" w:rsidRPr="00000000" w14:paraId="000000D5">
      <w:pPr>
        <w:spacing w:after="240" w:before="240" w:lineRule="auto"/>
        <w:rPr/>
      </w:pPr>
      <w:r w:rsidDel="00000000" w:rsidR="00000000" w:rsidRPr="00000000">
        <w:rPr>
          <w:rtl w:val="0"/>
        </w:rPr>
        <w:t xml:space="preserve">No matter when the hearing took place or when the appeal was briefed, it appears that the claim will be expected to have been documented with identity documents, formal certificates or degrees, official government or medical records, contemporaneous news articles confirming the existence of associates, leaders, parties, demonstrations, insurrections, arrests, and detentions. A thorough appendix of corroborating documentation should probably also include not only the actual corroborating documents pertaining to the asylum applicant, but the identification papers, evidence of titles on official stationary, and perhaps additional official statements, corroborating the positions of those persons whose third party affidavits the applicant for asylum is submitting in support and corroboration of his own claim. . . .</w:t>
      </w:r>
    </w:p>
    <w:p w:rsidR="00000000" w:rsidDel="00000000" w:rsidP="00000000" w:rsidRDefault="00000000" w:rsidRPr="00000000" w14:paraId="000000D6">
      <w:pPr>
        <w:spacing w:after="240" w:before="240" w:lineRule="auto"/>
        <w:rPr/>
      </w:pPr>
      <w:r w:rsidDel="00000000" w:rsidR="00000000" w:rsidRPr="00000000">
        <w:rPr>
          <w:rtl w:val="0"/>
        </w:rPr>
        <w:t xml:space="preserve">Fourth, after you have explained your political views and your racial or tribal or family-based relationships, and after you have described each and every thing that happened to you or that hurt you or your family because of those views or relationships and made you fear persecution (including the dates when and where it happened and what anybody said and who else was there), make sure to include an explanation of why you applied for asylum when you did, particularly if it was sometime after you first arrived in the United States. If you had roommates or knew others who applied for asylum, make sure you explain why you did not do so at the same time or why you did not understand the process just because someone you knew was pursuing it. Make sure to explain how you felt about discussing your claim even with close friends or family, and if you hesitated in doing so, explain what made you hesitate.</w:t>
      </w:r>
    </w:p>
    <w:p w:rsidR="00000000" w:rsidDel="00000000" w:rsidP="00000000" w:rsidRDefault="00000000" w:rsidRPr="00000000" w14:paraId="000000D7">
      <w:pPr>
        <w:spacing w:after="240" w:before="240" w:lineRule="auto"/>
        <w:rPr/>
      </w:pPr>
      <w:r w:rsidDel="00000000" w:rsidR="00000000" w:rsidRPr="00000000">
        <w:rPr>
          <w:rtl w:val="0"/>
        </w:rPr>
        <w:t xml:space="preserve">In the event that you are illiterate or semi-literate, explain how you remember significant things like when certain births and deaths happen or significant holidays, and tell us in as much detail as possible how you express the happening of these things. If you are illiterate or semi-literate or from a culture other than a Western one, make sure to explain whether the calendar used in the United States is the one used in your country, and make sure to explain whether you mark time by some other method such as significant religious holidays, or seasons of the year.</w:t>
      </w:r>
    </w:p>
    <w:p w:rsidR="00000000" w:rsidDel="00000000" w:rsidP="00000000" w:rsidRDefault="00000000" w:rsidRPr="00000000" w14:paraId="000000D8">
      <w:pPr>
        <w:spacing w:after="240" w:before="240" w:lineRule="auto"/>
        <w:rPr/>
      </w:pPr>
      <w:r w:rsidDel="00000000" w:rsidR="00000000" w:rsidRPr="00000000">
        <w:rPr>
          <w:rtl w:val="0"/>
        </w:rPr>
        <w:t xml:space="preserve">Fifth, at your hearing, be sure to testify about each and every item contained in your application, whether or not you are asked to do so on direct or cross-examination, or by the Immigration Judge. If the Immigration Judge resists hearing your testimony, make an “offer of proof” — meaning state on the record what you would prove if you were allowed to present evidence — making sure to advise the Immigration Judge while the tape recorder is turned on, “on the record,” of what you would testify to if allowed to testify. If you have hired an attorney to represent you, make sure your attorney does all these things. In case the Immigration Judge does not allow you to present certain evidence or admits evidence about which you object, it is probably best for the attorney to file a “brief” or written document arguing what the law requires and why your evidence or your explanation should be considered.</w:t>
      </w:r>
    </w:p>
    <w:p w:rsidR="00000000" w:rsidDel="00000000" w:rsidP="00000000" w:rsidRDefault="00000000" w:rsidRPr="00000000" w14:paraId="000000D9">
      <w:pPr>
        <w:spacing w:after="240" w:before="240" w:lineRule="auto"/>
        <w:rPr/>
      </w:pPr>
      <w:r w:rsidDel="00000000" w:rsidR="00000000" w:rsidRPr="00000000">
        <w:rPr>
          <w:rtl w:val="0"/>
        </w:rPr>
        <w:t xml:space="preserve">Sixth, if you are appealing a denial of your asylum claim, in addition to explaining discrepancies that may be gleaned from the record once it is transcribed, it would be prudent not only to respond to, but to anticipate and address certain other possible concerns that you might not have had reason to know to explain in your original application, including, (1) why, if you did not apply for asylum immediately, you did not do so; (2) why, if you had roommates or acquaintances from the same country, particularly if they had applied for asylum, you waited to apply; (3) why, if you had relatives anywhere in the world, you did not obtain letters from them corroborating the fact of their nationality and the persecutory events that were threatened or occurred; (4) why, if you submitted letters from family or associates addressing the circumstances of their persecution or country conditions, these letters went beyond the typical “how are you/news from home” content that would be expected of such letters and addressed those topics; (5) why, if you had physical or psychological injuries, you did not obtain treatment before your flight or immediately after arrival in the United States; (6) why you have a passport or could not obtain a passport, or why you were able to obtain a passport once in the United States; and (7) why, if there was a lapse of time between the submission of your application form and the hearing, you did not review the form and specifically correct any errors, omissions, or discrepancies prior to the hearing, explaining of course, how the errors occurred, and why they were not discovered at the time of signing and submitting the application.</w:t>
      </w:r>
    </w:p>
    <w:p w:rsidR="00000000" w:rsidDel="00000000" w:rsidP="00000000" w:rsidRDefault="00000000" w:rsidRPr="00000000" w14:paraId="000000DA">
      <w:pPr>
        <w:spacing w:after="240" w:before="240" w:lineRule="auto"/>
        <w:rPr/>
      </w:pPr>
      <w:r w:rsidDel="00000000" w:rsidR="00000000" w:rsidRPr="00000000">
        <w:rPr>
          <w:rtl w:val="0"/>
        </w:rPr>
        <w:t xml:space="preserve">. . .</w:t>
      </w:r>
    </w:p>
    <w:p w:rsidR="00000000" w:rsidDel="00000000" w:rsidP="00000000" w:rsidRDefault="00000000" w:rsidRPr="00000000" w14:paraId="000000DB">
      <w:pPr>
        <w:spacing w:after="240" w:before="240" w:lineRule="auto"/>
        <w:rPr/>
      </w:pPr>
      <w:r w:rsidDel="00000000" w:rsidR="00000000" w:rsidRPr="00000000">
        <w:rPr>
          <w:rtl w:val="0"/>
        </w:rPr>
        <w:t xml:space="preserve">Finally, if you have an attorney or had one who did not do all these things, find out why they were not done. Although every relationship with an attorney is an individual one between you, the client, and the attorney, these things are not special or unusual; attorneys representing people in asylum hearings are expected to do them. If you depended on your attorney to do these things and the attorney did not do them, prepare a statement with the help of someone else, send that statement to the attorney, and submit a copy of it to the bar association or licensing board for attorneys in your local area. Then send copies of all that information to the Immigration Judge (if your case was not appealed) or to the Board (if your case was appealed) with a motion to reopen claiming that you had “ineffective assistance of counsel.” Be sure to indicate how your case was prejudiced because of what your attorney did or did not do.</w:t>
      </w:r>
    </w:p>
    <w:p w:rsidR="00000000" w:rsidDel="00000000" w:rsidP="00000000" w:rsidRDefault="00000000" w:rsidRPr="00000000" w14:paraId="000000DC">
      <w:pPr>
        <w:spacing w:after="240" w:before="240" w:lineRule="auto"/>
        <w:rPr/>
      </w:pPr>
      <w:r w:rsidDel="00000000" w:rsidR="00000000" w:rsidRPr="00000000">
        <w:rPr>
          <w:rtl w:val="0"/>
        </w:rPr>
        <w:t xml:space="preserve">IV. Conclusion</w:t>
      </w:r>
    </w:p>
    <w:p w:rsidR="00000000" w:rsidDel="00000000" w:rsidP="00000000" w:rsidRDefault="00000000" w:rsidRPr="00000000" w14:paraId="000000DD">
      <w:pPr>
        <w:spacing w:after="240" w:before="240" w:lineRule="auto"/>
        <w:rPr/>
      </w:pPr>
      <w:r w:rsidDel="00000000" w:rsidR="00000000" w:rsidRPr="00000000">
        <w:rPr>
          <w:rtl w:val="0"/>
        </w:rPr>
        <w:t xml:space="preserve">If we wish to ensure the protection of legitimate asylum seekers according to our domestic and international commitments, we cannot allow either the development of a competent and professional Immigration Judge corps, our concerns about fraudulent asylum claims, or the demands of an overwhelming appellate docket to dictate our imposing an effective presumption of fabrication on every asylum seeker, or to rationalize limiting appellate review by this Board. That having been said, I recognize that the majority of this Board does not believe that we impose an objectionable presumption or improperly shy away from our appellate review responsibilities, or that the instant decision frustrates or will frustrate legitimate asylum claims. I hope that they will be proved correct, and that my foreboding will be proved wrong. In the meantime, I dissent.</w:t>
      </w:r>
    </w:p>
    <w:p w:rsidR="00000000" w:rsidDel="00000000" w:rsidP="00000000" w:rsidRDefault="00000000" w:rsidRPr="00000000" w14:paraId="000000DE">
      <w:pPr>
        <w:spacing w:after="240" w:before="240" w:lineRule="auto"/>
        <w:rPr/>
      </w:pPr>
      <w:r w:rsidDel="00000000" w:rsidR="00000000" w:rsidRPr="00000000">
        <w:rPr>
          <w:rtl w:val="0"/>
        </w:rPr>
        <w:t xml:space="preserve">NOTES AND QUESTIONS</w:t>
      </w:r>
    </w:p>
    <w:p w:rsidR="00000000" w:rsidDel="00000000" w:rsidP="00000000" w:rsidRDefault="00000000" w:rsidRPr="00000000" w14:paraId="000000DF">
      <w:pPr>
        <w:spacing w:after="240" w:before="240" w:lineRule="auto"/>
        <w:rPr/>
      </w:pPr>
      <w:r w:rsidDel="00000000" w:rsidR="00000000" w:rsidRPr="00000000">
        <w:rPr>
          <w:rtl w:val="0"/>
        </w:rPr>
        <w:t xml:space="preserve">1.  What do you think of Chairman Paul Schmidt’s dissent? He argues that while the BIA does not have the “advantage of a face-to-face observation of the witness” that an IJ does, the BIA has the “advantage” of reviewing the written transcript, “shared expertise,” “collegial discussion,” and insulation from the distractions of a trial atmosphere. Do you agree? Isn’t face-to-face observation the best vantage point to assess credibility?</w:t>
      </w:r>
    </w:p>
    <w:p w:rsidR="00000000" w:rsidDel="00000000" w:rsidP="00000000" w:rsidRDefault="00000000" w:rsidRPr="00000000" w14:paraId="000000E0">
      <w:pPr>
        <w:spacing w:after="240" w:before="240" w:lineRule="auto"/>
        <w:rPr/>
      </w:pPr>
      <w:r w:rsidDel="00000000" w:rsidR="00000000" w:rsidRPr="00000000">
        <w:rPr>
          <w:rtl w:val="0"/>
        </w:rPr>
        <w:t xml:space="preserve">2.  Do you agree with Chairman Schmidt’s assessment that the applicant’s testimony was not vague, that it was sufficiently specific, and that testifying in a “halting” manner is not necessarily a showing of lack of credibility? Do you agree that the omissions and date discrepancies were not remarkable?</w:t>
      </w:r>
    </w:p>
    <w:p w:rsidR="00000000" w:rsidDel="00000000" w:rsidP="00000000" w:rsidRDefault="00000000" w:rsidRPr="00000000" w14:paraId="000000E1">
      <w:pPr>
        <w:spacing w:after="240" w:before="240" w:lineRule="auto"/>
        <w:rPr/>
      </w:pPr>
      <w:r w:rsidDel="00000000" w:rsidR="00000000" w:rsidRPr="00000000">
        <w:rPr>
          <w:rtl w:val="0"/>
        </w:rPr>
        <w:t xml:space="preserve">3.  What do you think of Lory Rosenberg’s dissent? Specifically, what does she mean in her assertion that “credibility determinations are findings that are inextricably tied to the respondent’s burden of proof and can make or break a claim”? Do you agree that the “majority treats the disparities in the respondent’s recitation of the dates on which the attacks against him and his family occurred at worst, as revealing his claim, in its entirety, to be a sham, and at best, as defeating his burden of proof”? Would there be a different result if Rosenberg’s approach was adopted, namely, “the critical question for both the Immigration Judge and the Board is — or should be — what further steps should we take to ascertain what occurred and to judge the respondent’s claim?” Or that the role of the adjudicator should be to assist the asylum seeker “to clarify and substantiate his case, not as one of defeating” the claim, in part because the applicant often is unaware that the IJ thinks things are inconsistent?</w:t>
      </w:r>
    </w:p>
    <w:p w:rsidR="00000000" w:rsidDel="00000000" w:rsidP="00000000" w:rsidRDefault="00000000" w:rsidRPr="00000000" w14:paraId="000000E2">
      <w:pPr>
        <w:spacing w:after="240" w:before="240" w:lineRule="auto"/>
        <w:rPr/>
      </w:pPr>
      <w:r w:rsidDel="00000000" w:rsidR="00000000" w:rsidRPr="00000000">
        <w:rPr>
          <w:rtl w:val="0"/>
        </w:rPr>
        <w:t xml:space="preserve">4.  Are Rosenberg’s warnings to asylum seekers justified?</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t xml:space="preserve">Effect of PTSD. Matter of A-S- also raises the question of what effect trauma may have on the ability of asylum applicants to tell a story that is perfect in detail, sequence, and coherence. Consider this article:</w:t>
      </w:r>
    </w:p>
    <w:p w:rsidR="00000000" w:rsidDel="00000000" w:rsidP="00000000" w:rsidRDefault="00000000" w:rsidRPr="00000000" w14:paraId="000000E5">
      <w:pPr>
        <w:spacing w:after="240" w:before="240" w:lineRule="auto"/>
        <w:rPr/>
      </w:pPr>
      <w:r w:rsidDel="00000000" w:rsidR="00000000" w:rsidRPr="00000000">
        <w:rPr>
          <w:rtl w:val="0"/>
        </w:rPr>
        <w:t xml:space="preserve">Carol M. Suzuki, Unpacking Pandora’s Box: Innovative Techniques</w:t>
        <w:br w:type="textWrapping"/>
        <w:t xml:space="preserve"> for Effectively Counseling Asylum Applicants Suffering from Post-Traumatic Stress Disorder</w:t>
      </w:r>
    </w:p>
    <w:p w:rsidR="00000000" w:rsidDel="00000000" w:rsidP="00000000" w:rsidRDefault="00000000" w:rsidRPr="00000000" w14:paraId="000000E6">
      <w:pPr>
        <w:spacing w:after="240" w:before="240" w:lineRule="auto"/>
        <w:rPr/>
      </w:pPr>
      <w:r w:rsidDel="00000000" w:rsidR="00000000" w:rsidRPr="00000000">
        <w:rPr>
          <w:rtl w:val="0"/>
        </w:rPr>
        <w:t xml:space="preserve">4 Hastings Race &amp; Poverty L.J. 235 (2007)</w:t>
      </w:r>
    </w:p>
    <w:p w:rsidR="00000000" w:rsidDel="00000000" w:rsidP="00000000" w:rsidRDefault="00000000" w:rsidRPr="00000000" w14:paraId="000000E7">
      <w:pPr>
        <w:spacing w:after="240" w:before="240" w:lineRule="auto"/>
        <w:rPr/>
      </w:pPr>
      <w:r w:rsidDel="00000000" w:rsidR="00000000" w:rsidRPr="00000000">
        <w:rPr>
          <w:rtl w:val="0"/>
        </w:rPr>
        <w:t xml:space="preserve">Mohamed Ada Osman: A Composite Client</w:t>
      </w:r>
    </w:p>
    <w:p w:rsidR="00000000" w:rsidDel="00000000" w:rsidP="00000000" w:rsidRDefault="00000000" w:rsidRPr="00000000" w14:paraId="000000E8">
      <w:pPr>
        <w:spacing w:after="240" w:before="240" w:lineRule="auto"/>
        <w:rPr/>
      </w:pPr>
      <w:r w:rsidDel="00000000" w:rsidR="00000000" w:rsidRPr="00000000">
        <w:rPr>
          <w:rtl w:val="0"/>
        </w:rPr>
        <w:t xml:space="preserve">Mohamed Ada Osman is a refugee from Darfur who is afraid that he will be killed if he is forced to return to his home country of the Sudan. In my law office, Mohamed tells me that the people from Darfur, a region of the Sudan typically populated by non-Arabs, called “black Africans,” suffer from extreme persecution. Mohamed says the Sudanese government, in concert with the Janjaweed, a militant, nomadic Arab group, engages in ethnic cleansing of black Africans in Darfur.</w:t>
      </w:r>
    </w:p>
    <w:p w:rsidR="00000000" w:rsidDel="00000000" w:rsidP="00000000" w:rsidRDefault="00000000" w:rsidRPr="00000000" w14:paraId="000000E9">
      <w:pPr>
        <w:spacing w:after="240" w:before="240" w:lineRule="auto"/>
        <w:rPr/>
      </w:pPr>
      <w:r w:rsidDel="00000000" w:rsidR="00000000" w:rsidRPr="00000000">
        <w:rPr>
          <w:rtl w:val="0"/>
        </w:rPr>
        <w:t xml:space="preserve">Mohamed says that last year, government security men broke into his house in the middle of the night, blindfolded him, and drove him to a prison-like building. The men told him that he was heard plotting against the government with other black Africans while he was sitting on the stoop in front of his house. For one week he was kept in a dark, damp cell, with only a pot of water to drink from and some flour mixed with water to eat. He could not tell if it was day or night. About twice a day Mohamed was blindfolded, dragged out of the cell to another room, and interrogated about the supposed plot. Mohamed says that he used to sit on his stoop and talk to his friends about their safety concerns due to the attacks on black Africans by the Janjaweed in Darfur. He did not, however, plan anything to counter the attacks. After about one week, he was taken blindfolded in a car and dumped on the edge of his village. As he lay on the ground, one of the men told him, “We will never leave you alone.”</w:t>
      </w:r>
    </w:p>
    <w:p w:rsidR="00000000" w:rsidDel="00000000" w:rsidP="00000000" w:rsidRDefault="00000000" w:rsidRPr="00000000" w14:paraId="000000EA">
      <w:pPr>
        <w:spacing w:after="240" w:before="240" w:lineRule="auto"/>
        <w:rPr/>
      </w:pPr>
      <w:r w:rsidDel="00000000" w:rsidR="00000000" w:rsidRPr="00000000">
        <w:rPr>
          <w:rtl w:val="0"/>
        </w:rPr>
        <w:t xml:space="preserve">Mohamed tells me about the morning the Janjaweed attacked his village, the incident that made him realize he could not stay in Darfur. The Janjaweed came armed with AK-47s, on camels, set fire to his entire village, and opened fire on anyone they found. Mohamed describes frantically running out of his home with only the clothes he was wearing. On a hillside about a mile from the village, Mohamed and a few others watched throughout the afternoon as the Janjaweed destroyed their homes and lives. First, they killed everyone they could find, then they set fire to the entire settlement, and finally, late in the day, Sudanese government helicopters flew overhead and sprayed the entire area with machine-gun fire and grenades. When Mohamed awoke the next morning, there was almost no evidence that his village had ever existed.</w:t>
      </w:r>
    </w:p>
    <w:p w:rsidR="00000000" w:rsidDel="00000000" w:rsidP="00000000" w:rsidRDefault="00000000" w:rsidRPr="00000000" w14:paraId="000000EB">
      <w:pPr>
        <w:spacing w:after="240" w:before="240" w:lineRule="auto"/>
        <w:rPr/>
      </w:pPr>
      <w:r w:rsidDel="00000000" w:rsidR="00000000" w:rsidRPr="00000000">
        <w:rPr>
          <w:rtl w:val="0"/>
        </w:rPr>
        <w:t xml:space="preserve">Mohamed fled Darfur. With a little luck and lots of help from strangers he met on his way from the Sudan to Chad to Nigeria, Mohamed found his way to the United States and eventually to my law office. He has retained me as his lawyer to help him obtain asylum so that he can stay in the United States legally as a refugee and start a new life free from oppression. As part of my legal representation of Mohamed, I will file an application for asylum with the United States Citizenship and Immigration Services, detailing the persecution he suffered and showing why Mohamed is eligible for asylum. I will also write an affidavit containing Mohamed’s story, which I will present to the asylum officer who will interview Mohamed and determine whether he is eligible for asylum.</w:t>
      </w:r>
    </w:p>
    <w:p w:rsidR="00000000" w:rsidDel="00000000" w:rsidP="00000000" w:rsidRDefault="00000000" w:rsidRPr="00000000" w14:paraId="000000EC">
      <w:pPr>
        <w:spacing w:after="240" w:before="240" w:lineRule="auto"/>
        <w:rPr/>
      </w:pPr>
      <w:r w:rsidDel="00000000" w:rsidR="00000000" w:rsidRPr="00000000">
        <w:rPr>
          <w:rtl w:val="0"/>
        </w:rPr>
        <w:t xml:space="preserve">The next time I see Mohamed, I ask him a few more questions about the morning he fled his village, to make sure that I have enough detail to adequately explain in the affidavit the level of devastation he experienced at the hands of the Janjaweed. He replies, “When the two other men and I went back to the village the next day to see if there was anything left, we were stopped by two Janjaweed on camels.”</w:t>
      </w:r>
    </w:p>
    <w:p w:rsidR="00000000" w:rsidDel="00000000" w:rsidP="00000000" w:rsidRDefault="00000000" w:rsidRPr="00000000" w14:paraId="000000ED">
      <w:pPr>
        <w:spacing w:after="240" w:before="240" w:lineRule="auto"/>
        <w:rPr/>
      </w:pPr>
      <w:r w:rsidDel="00000000" w:rsidR="00000000" w:rsidRPr="00000000">
        <w:rPr>
          <w:rtl w:val="0"/>
        </w:rPr>
        <w:t xml:space="preserve">At this point in our interview, I stop and check my notes from our previous meetings. The last time we spoke Mohamed said that the attack occurred at the beginning of the day, and today he said that it happened while he was on his way home from work in the early evening. Mohamed told me in an earlier interview that as the Janjaweed set fire to the village, he ran away and did not see any more of the massacre until he returned the next day to look for survivors. Today he said that he ran away as the Janjaweed set fire to the village, and then he sat on a hill and watched the helicopters fly overhead and spray the village with machine gunfire. The story is changing in small increments, and I am confused. “Wait,” I say, “last time we talked you said there were four Janjaweed on camels. Were there two, or four?”</w:t>
      </w:r>
    </w:p>
    <w:p w:rsidR="00000000" w:rsidDel="00000000" w:rsidP="00000000" w:rsidRDefault="00000000" w:rsidRPr="00000000" w14:paraId="000000EE">
      <w:pPr>
        <w:spacing w:after="240" w:before="240" w:lineRule="auto"/>
        <w:rPr/>
      </w:pPr>
      <w:r w:rsidDel="00000000" w:rsidR="00000000" w:rsidRPr="00000000">
        <w:rPr>
          <w:rtl w:val="0"/>
        </w:rPr>
        <w:t xml:space="preserve">Introduction</w:t>
      </w:r>
    </w:p>
    <w:p w:rsidR="00000000" w:rsidDel="00000000" w:rsidP="00000000" w:rsidRDefault="00000000" w:rsidRPr="00000000" w14:paraId="000000EF">
      <w:pPr>
        <w:spacing w:after="240" w:before="240" w:lineRule="auto"/>
        <w:rPr/>
      </w:pPr>
      <w:r w:rsidDel="00000000" w:rsidR="00000000" w:rsidRPr="00000000">
        <w:rPr>
          <w:rtl w:val="0"/>
        </w:rPr>
        <w:t xml:space="preserve">Mohamed’s story, and its inconsistencies, raise many central and difficult issues attorneys face when representing asylum applicants. In order to qualify for asylum, an applicant must prove that he is a refugee, a person unable or unwilling to return to his home country or place of last habitual residence because of past persecution, or a well-founded fear of persecution, on the basis of race, nationality, membership in a particular social group, religion, or political opinion. In Mohamed’s case, the persecution he suffered in his native Darfur is the basis of his claim of well-founded fear. He must tell a consistent and highly detailed story of his past persecution in order to persuade the asylum officer, who will read his application and interview him, that he is credible and eligible for asylum.</w:t>
      </w:r>
    </w:p>
    <w:p w:rsidR="00000000" w:rsidDel="00000000" w:rsidP="00000000" w:rsidRDefault="00000000" w:rsidRPr="00000000" w14:paraId="000000F0">
      <w:pPr>
        <w:spacing w:after="240" w:before="240" w:lineRule="auto"/>
        <w:rPr/>
      </w:pPr>
      <w:r w:rsidDel="00000000" w:rsidR="00000000" w:rsidRPr="00000000">
        <w:rPr>
          <w:rtl w:val="0"/>
        </w:rPr>
        <w:t xml:space="preserve">However, the severe trauma an asylum applicant experiences can lead him to develop post-traumatic stress disorder (“PTSD”). PTSD can profoundly affect the ability to tell consistent and detailed stories of past persecution. An applicant suffering from PTSD may be unable to tell a story that a factfinder would find credible. This is because the applicant cannot tell a story that is consistent and highly detailed such that a factfinder would find it credible. There is an inescapable and cruel paradox evident when one considers the ramifications of PTSD on an asylum claim — those who suffer from PTSD because of their traumatic experiences, and who are deserving of asylum in the United States, may be denied asylum as a direct result of the symptoms of their affliction.</w:t>
      </w:r>
    </w:p>
    <w:p w:rsidR="00000000" w:rsidDel="00000000" w:rsidP="00000000" w:rsidRDefault="00000000" w:rsidRPr="00000000" w14:paraId="000000F1">
      <w:pPr>
        <w:spacing w:after="240" w:before="240" w:lineRule="auto"/>
        <w:rPr/>
      </w:pPr>
      <w:r w:rsidDel="00000000" w:rsidR="00000000" w:rsidRPr="00000000">
        <w:rPr>
          <w:rtl w:val="0"/>
        </w:rPr>
        <w:t xml:space="preserve">. . .</w:t>
      </w:r>
    </w:p>
    <w:p w:rsidR="00000000" w:rsidDel="00000000" w:rsidP="00000000" w:rsidRDefault="00000000" w:rsidRPr="00000000" w14:paraId="000000F2">
      <w:pPr>
        <w:spacing w:after="240" w:before="240" w:lineRule="auto"/>
        <w:rPr/>
      </w:pPr>
      <w:r w:rsidDel="00000000" w:rsidR="00000000" w:rsidRPr="00000000">
        <w:rPr>
          <w:rtl w:val="0"/>
        </w:rPr>
        <w:t xml:space="preserve">When preparing Mohamed for his application and asylum interview his trauma and mental state must be taken into account. Inconsistencies in his story that may be caused by his PTSD will hurt his chances at gaining asylum, and talking to Mohamed about his ordeal in such a way that causes him to relive his days of persecution may further traumatize him. Thus, I need to use interviewing techniques that both help him remember his story of persecution in a truthful, consistent, and detailed way, and that avoid unnecessary mental anguish.</w:t>
      </w:r>
    </w:p>
    <w:p w:rsidR="00000000" w:rsidDel="00000000" w:rsidP="00000000" w:rsidRDefault="00000000" w:rsidRPr="00000000" w14:paraId="000000F3">
      <w:pPr>
        <w:spacing w:after="240" w:before="240" w:lineRule="auto"/>
        <w:rPr/>
      </w:pPr>
      <w:r w:rsidDel="00000000" w:rsidR="00000000" w:rsidRPr="00000000">
        <w:rPr>
          <w:rtl w:val="0"/>
        </w:rPr>
        <w:t xml:space="preserve">. . .</w:t>
      </w:r>
    </w:p>
    <w:p w:rsidR="00000000" w:rsidDel="00000000" w:rsidP="00000000" w:rsidRDefault="00000000" w:rsidRPr="00000000" w14:paraId="000000F4">
      <w:pPr>
        <w:spacing w:after="240" w:before="240" w:lineRule="auto"/>
        <w:rPr/>
      </w:pPr>
      <w:r w:rsidDel="00000000" w:rsidR="00000000" w:rsidRPr="00000000">
        <w:rPr>
          <w:rtl w:val="0"/>
        </w:rPr>
        <w:t xml:space="preserve">II. Post-Traumatic Stress Disorder and Its Effect on Credibility</w:t>
      </w:r>
    </w:p>
    <w:p w:rsidR="00000000" w:rsidDel="00000000" w:rsidP="00000000" w:rsidRDefault="00000000" w:rsidRPr="00000000" w14:paraId="000000F5">
      <w:pPr>
        <w:spacing w:after="240" w:before="240" w:lineRule="auto"/>
        <w:rPr/>
      </w:pPr>
      <w:r w:rsidDel="00000000" w:rsidR="00000000" w:rsidRPr="00000000">
        <w:rPr>
          <w:rtl w:val="0"/>
        </w:rPr>
        <w:t xml:space="preserve">As noted above, asylum seekers who were persecuted in their home countries or country of last habitual residence may suffer mentally and physically as a result of that persecution. Mental health researchers are still discovering how the mind experiences trauma and how memory is affected by trauma. The injuries suffered by tortured individuals may result in diagnosable mental disorders including PTSD. Research on refugees and other trauma survivors has been conducted to study how PTSD and other mental disorders could affect an individual’s ability to accurately recall traumatic events. This section discusses the symptoms of PTSD and the memory process. It reviews mental health research on PTSD and traumatic memory, focusing on relevant studies about the accuracy of traumatic memory conducted on refugees and on veterans of Desert Storm. While this article focuses on asylum applicants, research on PTSD has been conducted on populations including veterans of the Vietnam War, the Gulf War, and the war in Iraq, as well as civilian victims of war, survivors of natural disasters, and survivors of rape and domestic violence.</w:t>
      </w:r>
    </w:p>
    <w:p w:rsidR="00000000" w:rsidDel="00000000" w:rsidP="00000000" w:rsidRDefault="00000000" w:rsidRPr="00000000" w14:paraId="000000F6">
      <w:pPr>
        <w:spacing w:after="240" w:before="240" w:lineRule="auto"/>
        <w:rPr/>
      </w:pPr>
      <w:r w:rsidDel="00000000" w:rsidR="00000000" w:rsidRPr="00000000">
        <w:rPr>
          <w:rtl w:val="0"/>
        </w:rPr>
        <w:t xml:space="preserve">A. Post-Traumatic Stress Disorder May Result in Inaccurate</w:t>
        <w:br w:type="textWrapping"/>
        <w:t xml:space="preserve"> Recall of Traumatic Memory</w:t>
      </w:r>
    </w:p>
    <w:p w:rsidR="00000000" w:rsidDel="00000000" w:rsidP="00000000" w:rsidRDefault="00000000" w:rsidRPr="00000000" w14:paraId="000000F7">
      <w:pPr>
        <w:spacing w:after="240" w:before="240" w:lineRule="auto"/>
        <w:rPr/>
      </w:pPr>
      <w:r w:rsidDel="00000000" w:rsidR="00000000" w:rsidRPr="00000000">
        <w:rPr>
          <w:rtl w:val="0"/>
        </w:rPr>
        <w:t xml:space="preserve">. . . Symptoms of PTSD may develop after an individual experiences or witnesses actual or threatened death or serious injury, a threat to physical integrity to himself or to others, or learns of the unexpected or violent death, serious harm, or the threat of death or injury occurring to a family member or close associate. The individual’s response may include intense fear, helplessness, or horror. Characteristic symptoms include persistent re-experiencing of the traumatic event, avoidance of stimuli associated with the traumatic event, and symptoms of increased arousal, such as hypervigilance or difficulty concentrating. . . .</w:t>
      </w:r>
    </w:p>
    <w:p w:rsidR="00000000" w:rsidDel="00000000" w:rsidP="00000000" w:rsidRDefault="00000000" w:rsidRPr="00000000" w14:paraId="000000F8">
      <w:pPr>
        <w:spacing w:after="240" w:before="240" w:lineRule="auto"/>
        <w:rPr/>
      </w:pPr>
      <w:r w:rsidDel="00000000" w:rsidR="00000000" w:rsidRPr="00000000">
        <w:rPr>
          <w:rtl w:val="0"/>
        </w:rPr>
        <w:t xml:space="preserve">The survivor may re-experience the traumatic event in the form of intrusive distressing recollections, recurring nightmares, or intense psychological distress or physiological reactions when exposed to internal or external cues that remind him of the event. A person with PTSD may suffer from periods of dissociation, when parts of the events are relived. These occurrences are more commonly known as “flashbacks.” As a result, the survivor may avoid stimuli that he associates with the traumatic event by refusing to think about the event and avoiding places, activities, situations and people that remind him of the event. Further, the survivor may have a marked diminished interest in activities that used to be significant to him, he may be unable to recall an important aspect of the traumatic event, and he may feel detached from others. He may also have a restricted range of affect, and have feelings of a foreshortened future. Finally, he may experience persistent symptoms of hyperarousal, including difficulty sleeping or concentrating, hypervigilance, anger, and irritability.</w:t>
      </w:r>
    </w:p>
    <w:p w:rsidR="00000000" w:rsidDel="00000000" w:rsidP="00000000" w:rsidRDefault="00000000" w:rsidRPr="00000000" w14:paraId="000000F9">
      <w:pPr>
        <w:spacing w:after="240" w:before="240" w:lineRule="auto"/>
        <w:rPr/>
      </w:pPr>
      <w:r w:rsidDel="00000000" w:rsidR="00000000" w:rsidRPr="00000000">
        <w:rPr>
          <w:rtl w:val="0"/>
        </w:rPr>
        <w:t xml:space="preserve">. . .</w:t>
      </w:r>
    </w:p>
    <w:p w:rsidR="00000000" w:rsidDel="00000000" w:rsidP="00000000" w:rsidRDefault="00000000" w:rsidRPr="00000000" w14:paraId="000000FA">
      <w:pPr>
        <w:spacing w:after="240" w:before="240" w:lineRule="auto"/>
        <w:rPr/>
      </w:pPr>
      <w:r w:rsidDel="00000000" w:rsidR="00000000" w:rsidRPr="00000000">
        <w:rPr>
          <w:rtl w:val="0"/>
        </w:rPr>
        <w:t xml:space="preserve">Extensive research has focused on asylum seekers and refugees from countries affected by war and related persecution. There is variation in rates of PTSD among immigrants, especially those in countries affected by war. “Individuals who have recently emigrated from areas of considerable social unrest and civil conflict may have elevated rates of Posttraumatic Stress Disorder. Such individuals may be especially reluctant to divulge experiences of torture and trauma due to their vulnerable political immigrant status.” Additionally, PTSD sufferers often suffer from other mental disorders, including depression and drug and alcohol dependence.</w:t>
      </w:r>
    </w:p>
    <w:p w:rsidR="00000000" w:rsidDel="00000000" w:rsidP="00000000" w:rsidRDefault="00000000" w:rsidRPr="00000000" w14:paraId="000000FB">
      <w:pPr>
        <w:spacing w:after="240" w:before="240" w:lineRule="auto"/>
        <w:rPr/>
      </w:pPr>
      <w:r w:rsidDel="00000000" w:rsidR="00000000" w:rsidRPr="00000000">
        <w:rPr>
          <w:rtl w:val="0"/>
        </w:rPr>
        <w:t xml:space="preserve">. . .</w:t>
      </w:r>
    </w:p>
    <w:p w:rsidR="00000000" w:rsidDel="00000000" w:rsidP="00000000" w:rsidRDefault="00000000" w:rsidRPr="00000000" w14:paraId="000000FC">
      <w:pPr>
        <w:spacing w:after="240" w:before="240" w:lineRule="auto"/>
        <w:rPr/>
      </w:pPr>
      <w:r w:rsidDel="00000000" w:rsidR="00000000" w:rsidRPr="00000000">
        <w:rPr>
          <w:rtl w:val="0"/>
        </w:rPr>
        <w:t xml:space="preserve">The results of the study on Kosovan and Bosnian refugees indicate that the refugee participants had discrepancies in their first-hand accounts. The discrepancies were more likely to involve those details that were peripheral to the experiences than those that made up the central gist of the event. Although a subject was more likely to have accurate recall of central elements of an experience when the experience had a high level of emotional impact on the subject rather than a neutral impact, the subject became less accurate in the recall of peripheral details of the experience. There was no significant difference regarding whether the experience recalled was a traumatic event or a non-traumatic event. Refugee participants with high levels of traumatic stress were more likely to have a greater number of discrepancies the longer the time between interviews. Therefore, discrepancies in recall over time do not necessarily indicate lying. Also, subjects who were depressed and who suffered from PTSD had difficulty recalling central details. Furthermore, the results indicated that the level of detail conveyed in the subjects’ response was dictated in part by how the question was worded.</w:t>
      </w:r>
    </w:p>
    <w:p w:rsidR="00000000" w:rsidDel="00000000" w:rsidP="00000000" w:rsidRDefault="00000000" w:rsidRPr="00000000" w14:paraId="000000FD">
      <w:pPr>
        <w:spacing w:after="240" w:before="240" w:lineRule="auto"/>
        <w:rPr/>
      </w:pPr>
      <w:r w:rsidDel="00000000" w:rsidR="00000000" w:rsidRPr="00000000">
        <w:rPr>
          <w:rtl w:val="0"/>
        </w:rPr>
        <w:t xml:space="preserve">. . .</w:t>
      </w:r>
    </w:p>
    <w:p w:rsidR="00000000" w:rsidDel="00000000" w:rsidP="00000000" w:rsidRDefault="00000000" w:rsidRPr="00000000" w14:paraId="000000FE">
      <w:pPr>
        <w:spacing w:after="240" w:before="240" w:lineRule="auto"/>
        <w:rPr/>
      </w:pPr>
      <w:r w:rsidDel="00000000" w:rsidR="00000000" w:rsidRPr="00000000">
        <w:rPr>
          <w:rtl w:val="0"/>
        </w:rPr>
        <w:t xml:space="preserve">Other studies also show that memory of the details of a traumatic event are not recalled consistently over time. A study of Gulf War veterans, for instance, found that even details that seem immutable, generally objective and highly traumatic — such as whether a soldier saw other soldiers killed or wounded — often shift or change after two years have passed. In this study, fifty-nine veterans of Operation Desert Storm completed a questionnaire regarding potential traumatic stressors faced by Desert Storm personnel. These subjects were also evaluated for PTSD. The study concluded that subjects with PTSD are more likely to have difficulty remembering details of traumatic events and their stories are more likely to become inconsistent over time. There were inconsistencies in recall of events that were generally objective and highly traumatic in nature. This study found a positive correlation between high levels of PTSD in subjects and inconsistency in memory of traumatic events.</w:t>
      </w:r>
    </w:p>
    <w:p w:rsidR="00000000" w:rsidDel="00000000" w:rsidP="00000000" w:rsidRDefault="00000000" w:rsidRPr="00000000" w14:paraId="000000FF">
      <w:pPr>
        <w:spacing w:after="240" w:before="240" w:lineRule="auto"/>
        <w:rPr/>
      </w:pPr>
      <w:r w:rsidDel="00000000" w:rsidR="00000000" w:rsidRPr="00000000">
        <w:rPr>
          <w:rtl w:val="0"/>
        </w:rPr>
        <w:t xml:space="preserve">B. Trauma Influences All Phases of the Memory Process</w:t>
      </w:r>
    </w:p>
    <w:p w:rsidR="00000000" w:rsidDel="00000000" w:rsidP="00000000" w:rsidRDefault="00000000" w:rsidRPr="00000000" w14:paraId="00000100">
      <w:pPr>
        <w:spacing w:after="240" w:before="240" w:lineRule="auto"/>
        <w:rPr/>
      </w:pPr>
      <w:r w:rsidDel="00000000" w:rsidR="00000000" w:rsidRPr="00000000">
        <w:rPr>
          <w:rtl w:val="0"/>
        </w:rPr>
        <w:t xml:space="preserve">. . .</w:t>
      </w:r>
    </w:p>
    <w:p w:rsidR="00000000" w:rsidDel="00000000" w:rsidP="00000000" w:rsidRDefault="00000000" w:rsidRPr="00000000" w14:paraId="00000101">
      <w:pPr>
        <w:spacing w:after="240" w:before="240" w:lineRule="auto"/>
        <w:rPr/>
      </w:pPr>
      <w:r w:rsidDel="00000000" w:rsidR="00000000" w:rsidRPr="00000000">
        <w:rPr>
          <w:rtl w:val="0"/>
        </w:rPr>
        <w:t xml:space="preserve">Traumatic memory is stored differently than non-traumatic memory. Unlike explicit memory, traumatic events are stored as implicit memory, which are sensory, emotional, reflexive, or conditioned responses. A person who experiences a traumatic event processes the event in terms of the senses of sight, sound, touch, taste, and smell. As noted above, during the traumatic event, the brain becomes overwhelmed with all of the information it absorbs and stores the information as fragments. These fragments become associated with other, similar memories of possibly unrelated events. Retrieval of the memory of the traumatic event may also retrieve fragments of these unrelated events. A person who has suffered repeated, and similar traumatic events, such as numerous jailings and beatings, may blend the different occurrences together and not remember details from a particular event.</w:t>
      </w:r>
    </w:p>
    <w:p w:rsidR="00000000" w:rsidDel="00000000" w:rsidP="00000000" w:rsidRDefault="00000000" w:rsidRPr="00000000" w14:paraId="00000102">
      <w:pPr>
        <w:spacing w:after="240" w:before="240" w:lineRule="auto"/>
        <w:rPr/>
      </w:pPr>
      <w:r w:rsidDel="00000000" w:rsidR="00000000" w:rsidRPr="00000000">
        <w:rPr>
          <w:rtl w:val="0"/>
        </w:rPr>
        <w:t xml:space="preserve">. . .</w:t>
      </w:r>
    </w:p>
    <w:p w:rsidR="00000000" w:rsidDel="00000000" w:rsidP="00000000" w:rsidRDefault="00000000" w:rsidRPr="00000000" w14:paraId="00000103">
      <w:pPr>
        <w:spacing w:after="240" w:before="240" w:lineRule="auto"/>
        <w:rPr/>
      </w:pPr>
      <w:r w:rsidDel="00000000" w:rsidR="00000000" w:rsidRPr="00000000">
        <w:rPr>
          <w:rtl w:val="0"/>
        </w:rPr>
        <w:t xml:space="preserve">III. Connecting the Dots: Best Practices for Interviewing Asylum Applicants Who Suffer from Post-Traumatic Stress Disorder</w:t>
      </w:r>
    </w:p>
    <w:p w:rsidR="00000000" w:rsidDel="00000000" w:rsidP="00000000" w:rsidRDefault="00000000" w:rsidRPr="00000000" w14:paraId="00000104">
      <w:pPr>
        <w:spacing w:after="240" w:before="240" w:lineRule="auto"/>
        <w:rPr/>
      </w:pPr>
      <w:r w:rsidDel="00000000" w:rsidR="00000000" w:rsidRPr="00000000">
        <w:rPr>
          <w:rtl w:val="0"/>
        </w:rPr>
        <w:t xml:space="preserve">An attorney representing an asylum applicant suffering from PTSD must be mindful of the impact of PTSD on the client so that she can strategize from the beginning of representation how to best counsel her client. She must also be mindful that it is essential for an asylum applicant whose well-founded fear is based on past persecution to tell his story of persecution with detail and consistency in order to be found credible. . . . If her client indeed suffers from PTSD, he may have trouble telling a detailed and consistent story. This may make interviewing her client and preparing him for the asylum process more difficult. Also, the symptoms of PTSD, such as avoidance of engaging in thoughts about the traumatic event, may make the counseling process more difficult. A competent attorney representing an asylum applicant must assist her client to integrate the sensory fragments which make up traumatic experience, connecting them to develop a consistent and detailed account of persecution.</w:t>
      </w:r>
    </w:p>
    <w:p w:rsidR="00000000" w:rsidDel="00000000" w:rsidP="00000000" w:rsidRDefault="00000000" w:rsidRPr="00000000" w14:paraId="00000105">
      <w:pPr>
        <w:spacing w:after="240" w:before="240" w:lineRule="auto"/>
        <w:rPr/>
      </w:pPr>
      <w:r w:rsidDel="00000000" w:rsidR="00000000" w:rsidRPr="00000000">
        <w:rPr>
          <w:rtl w:val="0"/>
        </w:rPr>
        <w:t xml:space="preserve">. . .</w:t>
      </w:r>
    </w:p>
    <w:p w:rsidR="00000000" w:rsidDel="00000000" w:rsidP="00000000" w:rsidRDefault="00000000" w:rsidRPr="00000000" w14:paraId="00000106">
      <w:pPr>
        <w:spacing w:after="240" w:before="240" w:lineRule="auto"/>
        <w:rPr/>
      </w:pPr>
      <w:r w:rsidDel="00000000" w:rsidR="00000000" w:rsidRPr="00000000">
        <w:rPr>
          <w:rtl w:val="0"/>
        </w:rPr>
        <w:t xml:space="preserve">A. Issues to Consider in the Establishment of an Effective</w:t>
        <w:br w:type="textWrapping"/>
        <w:t xml:space="preserve"> Client Relationship</w:t>
      </w:r>
    </w:p>
    <w:p w:rsidR="00000000" w:rsidDel="00000000" w:rsidP="00000000" w:rsidRDefault="00000000" w:rsidRPr="00000000" w14:paraId="00000107">
      <w:pPr>
        <w:spacing w:after="240" w:before="240" w:lineRule="auto"/>
        <w:rPr/>
      </w:pPr>
      <w:r w:rsidDel="00000000" w:rsidR="00000000" w:rsidRPr="00000000">
        <w:rPr>
          <w:rtl w:val="0"/>
        </w:rPr>
        <w:t xml:space="preserve">. . .</w:t>
      </w:r>
    </w:p>
    <w:p w:rsidR="00000000" w:rsidDel="00000000" w:rsidP="00000000" w:rsidRDefault="00000000" w:rsidRPr="00000000" w14:paraId="00000108">
      <w:pPr>
        <w:spacing w:after="240" w:before="240" w:lineRule="auto"/>
        <w:rPr/>
      </w:pPr>
      <w:r w:rsidDel="00000000" w:rsidR="00000000" w:rsidRPr="00000000">
        <w:rPr>
          <w:rtl w:val="0"/>
        </w:rPr>
        <w:t xml:space="preserve">In establishing a trusting relationship with a client, a lawyer should be mindful of developing rapport. An attorney must be friendly and personable with her client in order to effectively advocate for him. Thus, she must develop a level of comfort in order for her client to feel comfortable and trusting enough to disclose very personal and difficult information. They should meet in a place that is accommodating to the client as well as the attorney. They should avoid locations that are loud, busy, and filled with distractions so that they may focus on the client’s goals.</w:t>
      </w:r>
    </w:p>
    <w:p w:rsidR="00000000" w:rsidDel="00000000" w:rsidP="00000000" w:rsidRDefault="00000000" w:rsidRPr="00000000" w14:paraId="00000109">
      <w:pPr>
        <w:spacing w:after="240" w:before="240" w:lineRule="auto"/>
        <w:rPr/>
      </w:pPr>
      <w:r w:rsidDel="00000000" w:rsidR="00000000" w:rsidRPr="00000000">
        <w:rPr>
          <w:rtl w:val="0"/>
        </w:rPr>
        <w:t xml:space="preserve">The attorney should acknowledge the difficulty the client may have in speaking about traumatic events. She needs to inform her client that the interview may upset him and that he may feel worse when he leaves the office. The attorney should also inform her client of this phenomenon prior to their discussion of traumatic details so that after the client leaves, he can attribute negative feelings to the difficulty of the discussion and more appropriately deal with those feelings. Despite the negative feelings, the client will need to return to speak with his attorney about additional unpleasant details with the goal of obtaining asylum. In a therapeutic environment, it is important for the therapist to acknowledge not only the patient’s feelings, but his experience. Similarly, in a legal setting, the attorney should express that she is able to listen to and absorb what her client will tell her.</w:t>
      </w:r>
    </w:p>
    <w:p w:rsidR="00000000" w:rsidDel="00000000" w:rsidP="00000000" w:rsidRDefault="00000000" w:rsidRPr="00000000" w14:paraId="0000010A">
      <w:pPr>
        <w:spacing w:after="240" w:before="240" w:lineRule="auto"/>
        <w:rPr/>
      </w:pPr>
      <w:r w:rsidDel="00000000" w:rsidR="00000000" w:rsidRPr="00000000">
        <w:rPr>
          <w:rtl w:val="0"/>
        </w:rPr>
        <w:t xml:space="preserve">. . .</w:t>
      </w:r>
    </w:p>
    <w:p w:rsidR="00000000" w:rsidDel="00000000" w:rsidP="00000000" w:rsidRDefault="00000000" w:rsidRPr="00000000" w14:paraId="0000010B">
      <w:pPr>
        <w:spacing w:after="240" w:before="240" w:lineRule="auto"/>
        <w:rPr/>
      </w:pPr>
      <w:r w:rsidDel="00000000" w:rsidR="00000000" w:rsidRPr="00000000">
        <w:rPr>
          <w:rtl w:val="0"/>
        </w:rPr>
        <w:t xml:space="preserve">There also needs to be an acknowledgment of the enormous time expenditure of the entire process of developing a relationship, helping the client to feel comfortable to talk about his past trauma, and developing the case and the claims. In a therapeutic setting, building a rapport, eliciting details of a traumatic event, and situating a patient to begin the recovery process takes time. Unfortunately, clients may not have the luxury of time because of the one-year filing deadline for asylum, and because some asylum seekers only contact lawyers when the immigration judges allow an adjournment of a removal hearing for the applicants to retain counsel.</w:t>
      </w:r>
    </w:p>
    <w:p w:rsidR="00000000" w:rsidDel="00000000" w:rsidP="00000000" w:rsidRDefault="00000000" w:rsidRPr="00000000" w14:paraId="0000010C">
      <w:pPr>
        <w:spacing w:after="240" w:before="240" w:lineRule="auto"/>
        <w:rPr/>
      </w:pPr>
      <w:r w:rsidDel="00000000" w:rsidR="00000000" w:rsidRPr="00000000">
        <w:rPr>
          <w:rtl w:val="0"/>
        </w:rPr>
        <w:t xml:space="preserve">. . .</w:t>
      </w:r>
    </w:p>
    <w:p w:rsidR="00000000" w:rsidDel="00000000" w:rsidP="00000000" w:rsidRDefault="00000000" w:rsidRPr="00000000" w14:paraId="0000010D">
      <w:pPr>
        <w:spacing w:after="240" w:before="240" w:lineRule="auto"/>
        <w:rPr/>
      </w:pPr>
      <w:r w:rsidDel="00000000" w:rsidR="00000000" w:rsidRPr="00000000">
        <w:rPr>
          <w:rtl w:val="0"/>
        </w:rPr>
        <w:t xml:space="preserve">An attorney with a client suffering from PTSD must also be careful to avoid re-traumatizing her client through her approach to interviewing and counseling. As discussed earlier, a number of refugees will develop PTSD as a result of their persecution. In terms of diagnosis, intrusive thoughts and hypervigilence are thought to be universal symptoms, but avoidance and dissociative symptoms are not. These phenomena may affect the interview process. There is also a risk of re-traumatizing asylum applicants during the process of preparing an asylum application or for an asylum interview. As part of the process, the applicant will need to recall the events of persecution that occurred. The act of recall can cause the applicant to relive the events of torture. Some applicants were detained and interrogated by their persecutors before they fled their home country as part of the persecution. As a result, the process of working with an attorney on an asylum application, where the attorney asks many detailed questions during the interviews, may mirror some aspects of an interrogation.</w:t>
      </w:r>
    </w:p>
    <w:p w:rsidR="00000000" w:rsidDel="00000000" w:rsidP="00000000" w:rsidRDefault="00000000" w:rsidRPr="00000000" w14:paraId="0000010E">
      <w:pPr>
        <w:spacing w:after="240" w:before="240" w:lineRule="auto"/>
        <w:rPr/>
      </w:pPr>
      <w:r w:rsidDel="00000000" w:rsidR="00000000" w:rsidRPr="00000000">
        <w:rPr>
          <w:rtl w:val="0"/>
        </w:rPr>
        <w:t xml:space="preserve">. . .</w:t>
      </w:r>
    </w:p>
    <w:p w:rsidR="00000000" w:rsidDel="00000000" w:rsidP="00000000" w:rsidRDefault="00000000" w:rsidRPr="00000000" w14:paraId="0000010F">
      <w:pPr>
        <w:spacing w:after="240" w:before="240" w:lineRule="auto"/>
        <w:rPr/>
      </w:pPr>
      <w:r w:rsidDel="00000000" w:rsidR="00000000" w:rsidRPr="00000000">
        <w:rPr>
          <w:rtl w:val="0"/>
        </w:rPr>
        <w:t xml:space="preserve">Furthermore, trauma sufferers may not want to discuss their experiences and may have difficulty remembering events. The intrusive thoughts that may continually plague them are unpleasant and unwelcome reminders of the past persecution. Preparing an asylum application forces the client to delve into the reminders, emotions, and pain that the client associates with the traumatic event. At the same time, the mind attempts to shut out thoughts of persecution as a means of protecting the individual from painful memories. The client may even become so uncomfortable that he avoids future appointments set up to prepare the client and his asylum application. If an asylum applicant becomes anxious during client interviews, the attorney must acknowledge her client’s anxiety and attend to it. They should pause the interview and explore the client’s anxiety. If continuing the interview causes her client to feel extreme stress, they need to consider ending the interview and resuming it at a later time. A more successful working relationship can develop if attention is paid toward the difficulty of talking about traumatic events and of the effects of PTSD.</w:t>
      </w:r>
    </w:p>
    <w:p w:rsidR="00000000" w:rsidDel="00000000" w:rsidP="00000000" w:rsidRDefault="00000000" w:rsidRPr="00000000" w14:paraId="00000110">
      <w:pPr>
        <w:spacing w:after="240" w:before="240" w:lineRule="auto"/>
        <w:rPr/>
      </w:pPr>
      <w:r w:rsidDel="00000000" w:rsidR="00000000" w:rsidRPr="00000000">
        <w:rPr>
          <w:rtl w:val="0"/>
        </w:rPr>
        <w:t xml:space="preserve">B. Techniques for Asking Questions That Elicit a Detailed</w:t>
        <w:br w:type="textWrapping"/>
        <w:t xml:space="preserve"> and Consistent Story</w:t>
      </w:r>
    </w:p>
    <w:p w:rsidR="00000000" w:rsidDel="00000000" w:rsidP="00000000" w:rsidRDefault="00000000" w:rsidRPr="00000000" w14:paraId="00000111">
      <w:pPr>
        <w:spacing w:after="240" w:before="240" w:lineRule="auto"/>
        <w:rPr/>
      </w:pPr>
      <w:r w:rsidDel="00000000" w:rsidR="00000000" w:rsidRPr="00000000">
        <w:rPr>
          <w:rtl w:val="0"/>
        </w:rPr>
        <w:t xml:space="preserve">Credibility is essential to an asylum claim and can only be established through consistency and detail of an asylum applicant’s experiences. In preparation for an asylum interview or removal hearing, an attorney must help a client to tell a factually detailed and consistent story of persecution in a manner that is credible and with sufficient merit to meet the burden of proof. In the therapeutic realm, treatment of PTSD often involves converting the memory of the traumatic event from its sensory characteristics and into a narrative. This treatment involves not only verbal recall of the event, but also the application of the event’s personal meaning to the patient. The mind works to integrate the memories of the traumatic event with the individual’s other memories and sense of self in order to gain some control over the past trauma. A therapist may counsel a patient in the recall of details and the formation of a narrative that allows him to consider the narrative without high anxiety. In the legal setting, a lawyer should counsel her client to develop a detailed and consistent narrative from the sensory elements of the memory. She should question her client using various techniques that are mindful of the sensory fragments which make up traumatic memory.</w:t>
      </w:r>
    </w:p>
    <w:p w:rsidR="00000000" w:rsidDel="00000000" w:rsidP="00000000" w:rsidRDefault="00000000" w:rsidRPr="00000000" w14:paraId="00000112">
      <w:pPr>
        <w:spacing w:after="240" w:before="240" w:lineRule="auto"/>
        <w:rPr/>
      </w:pPr>
      <w:r w:rsidDel="00000000" w:rsidR="00000000" w:rsidRPr="00000000">
        <w:rPr>
          <w:rtl w:val="0"/>
        </w:rPr>
        <w:t xml:space="preserve">. . .</w:t>
      </w:r>
    </w:p>
    <w:p w:rsidR="00000000" w:rsidDel="00000000" w:rsidP="00000000" w:rsidRDefault="00000000" w:rsidRPr="00000000" w14:paraId="00000113">
      <w:pPr>
        <w:spacing w:after="240" w:before="240" w:lineRule="auto"/>
        <w:rPr/>
      </w:pPr>
      <w:r w:rsidDel="00000000" w:rsidR="00000000" w:rsidRPr="00000000">
        <w:rPr>
          <w:rtl w:val="0"/>
        </w:rPr>
        <w:t xml:space="preserve">Beyond questioning techniques, a lawyer whose client suffers from PTSD may want to consider creating a timeline as a visual representation of the traumatic memory, integrating sensory details providing cues that the client finds helpful. Memory recounted in chronological segments is generally essential in the asylum context. With all of its details and perhaps with numerous acts of persecution, an asylum applicant’s traumatic experience may be lengthy. As an aid to an asylum applicant, an attorney may consider distilling the facts into a timeline for her client and for herself to reference as they continue to prepare for an asylum interview or immigration hearing. After helping the client recall details of the traumatic experience, the attorney will have a set of facts set out in chronological order from which the answers to the asylum application can be written, as well as an affidavit for submission on behalf of the asylum applicant. It can be offered to an asylum officer in support of the application, as the timeline was developed from the applicant’s memory. A timeline may be especially useful if the client is from a culture where perception of time and chronology of events are not emphasized. Although an asylum applicant may not think in terms of dates and events, in order to set forth an event of torture or persecution, the story should be anchored in terms of dates and details of particular events. Of course, the value of this suggestion will be affected by whether an asylum applicant and his attorney are visual learners, a client’s literacy, and differences in language. However, if a client suffers any dissociation that causes him to be inaccurate in time valuation, then a timeline may help him to remember the length of each experience and the specific order in which they occurred.</w:t>
      </w:r>
    </w:p>
    <w:p w:rsidR="00000000" w:rsidDel="00000000" w:rsidP="00000000" w:rsidRDefault="00000000" w:rsidRPr="00000000" w14:paraId="00000114">
      <w:pPr>
        <w:spacing w:after="240" w:before="240" w:lineRule="auto"/>
        <w:rPr/>
      </w:pPr>
      <w:r w:rsidDel="00000000" w:rsidR="00000000" w:rsidRPr="00000000">
        <w:rPr>
          <w:rtl w:val="0"/>
        </w:rPr>
        <w:t xml:space="preserve">Another approach to the recall of traumatic experiences is creating a diary. An attorney can assign homework to her client, asking him to keep an account of memories, details, and emotions he recalls when he is not meeting with his attorney. These memories may even come in the form of nightmares related to past persecution that trigger memory of details. Also, once the client begins the process of recall with his attorney, it may trigger reflections of the traumatic events. Writing about the traumatic event can expose some details that otherwise would not be recalled. It can assist the asylum applicant in forming a coherent narrative of the traumatic event. One study found that survivors of trauma write well and vividly. Of relevance here is that when instructed to explore their emotions related to the traumatic experience in their writing, the subjects had better recall of details.</w:t>
      </w:r>
    </w:p>
    <w:p w:rsidR="00000000" w:rsidDel="00000000" w:rsidP="00000000" w:rsidRDefault="00000000" w:rsidRPr="00000000" w14:paraId="00000115">
      <w:pPr>
        <w:spacing w:after="240" w:before="240" w:lineRule="auto"/>
        <w:rPr/>
      </w:pPr>
      <w:r w:rsidDel="00000000" w:rsidR="00000000" w:rsidRPr="00000000">
        <w:rPr>
          <w:rtl w:val="0"/>
        </w:rPr>
        <w:t xml:space="preserve">C. Techniques for Counseling a Client Suffering from PTSD</w:t>
        <w:br w:type="textWrapping"/>
        <w:t xml:space="preserve"> Regarding Inconsistencies</w:t>
      </w:r>
    </w:p>
    <w:p w:rsidR="00000000" w:rsidDel="00000000" w:rsidP="00000000" w:rsidRDefault="00000000" w:rsidRPr="00000000" w14:paraId="00000116">
      <w:pPr>
        <w:spacing w:after="240" w:before="240" w:lineRule="auto"/>
        <w:rPr/>
      </w:pPr>
      <w:r w:rsidDel="00000000" w:rsidR="00000000" w:rsidRPr="00000000">
        <w:rPr>
          <w:rtl w:val="0"/>
        </w:rPr>
        <w:t xml:space="preserve">. . .</w:t>
      </w:r>
    </w:p>
    <w:p w:rsidR="00000000" w:rsidDel="00000000" w:rsidP="00000000" w:rsidRDefault="00000000" w:rsidRPr="00000000" w14:paraId="00000117">
      <w:pPr>
        <w:spacing w:after="240" w:before="240" w:lineRule="auto"/>
        <w:rPr/>
      </w:pPr>
      <w:r w:rsidDel="00000000" w:rsidR="00000000" w:rsidRPr="00000000">
        <w:rPr>
          <w:rtl w:val="0"/>
        </w:rPr>
        <w:t xml:space="preserve">Dealing with client inconsistencies takes patience and trust on both sides of the relationship. The attorney interviewer may have made significant efforts to develop a trusting relationship with her client with the goal of eliciting details of traumatic memories. Perhaps she has asked her client countless questions about a single moment in the course of a traumatic experience in an attempt to help her client recall every detail. With each detail elicited, she may have asked numerous follow-up questions to try to chain together the details into a coherent narrative. It is likely that inconsistencies will arise in trying to chain together segments of a traumatic experience. In addressing inconsistencies in details, the attorney must point out the discrepancies in the facts presented by her client and ask that her client confront and consider them. Addressing inconsistencies may be uncomfortable for both the attorney and her client.</w:t>
      </w:r>
    </w:p>
    <w:p w:rsidR="00000000" w:rsidDel="00000000" w:rsidP="00000000" w:rsidRDefault="00000000" w:rsidRPr="00000000" w14:paraId="00000118">
      <w:pPr>
        <w:spacing w:after="240" w:before="240" w:lineRule="auto"/>
        <w:rPr/>
      </w:pPr>
      <w:r w:rsidDel="00000000" w:rsidR="00000000" w:rsidRPr="00000000">
        <w:rPr>
          <w:rtl w:val="0"/>
        </w:rPr>
        <w:t xml:space="preserve">NOTES AND QUESTIONS</w:t>
      </w:r>
    </w:p>
    <w:p w:rsidR="00000000" w:rsidDel="00000000" w:rsidP="00000000" w:rsidRDefault="00000000" w:rsidRPr="00000000" w14:paraId="00000119">
      <w:pPr>
        <w:spacing w:after="240" w:before="240" w:lineRule="auto"/>
        <w:rPr/>
      </w:pPr>
      <w:r w:rsidDel="00000000" w:rsidR="00000000" w:rsidRPr="00000000">
        <w:rPr>
          <w:rtl w:val="0"/>
        </w:rPr>
        <w:t xml:space="preserve">1.  Given the effects of PTSD, how should immigration judges regard inconsistencies in assessing the credibility of asylum applicants?</w:t>
      </w:r>
    </w:p>
    <w:p w:rsidR="00000000" w:rsidDel="00000000" w:rsidP="00000000" w:rsidRDefault="00000000" w:rsidRPr="00000000" w14:paraId="0000011A">
      <w:pPr>
        <w:spacing w:after="240" w:before="240" w:lineRule="auto"/>
        <w:rPr/>
      </w:pPr>
      <w:r w:rsidDel="00000000" w:rsidR="00000000" w:rsidRPr="00000000">
        <w:rPr>
          <w:rtl w:val="0"/>
        </w:rPr>
        <w:t xml:space="preserve">2.  Does the REAL ID provision pertaining to credibility (discussed below) reflect an understanding of the effects of PTSD on asylum applicants?</w:t>
      </w:r>
    </w:p>
    <w:p w:rsidR="00000000" w:rsidDel="00000000" w:rsidP="00000000" w:rsidRDefault="00000000" w:rsidRPr="00000000" w14:paraId="0000011B">
      <w:pPr>
        <w:spacing w:after="240" w:before="240" w:lineRule="auto"/>
        <w:rPr/>
      </w:pPr>
      <w:r w:rsidDel="00000000" w:rsidR="00000000" w:rsidRPr="00000000">
        <w:rPr>
          <w:rtl w:val="0"/>
        </w:rPr>
        <w:t xml:space="preserve">3.  What approaches or efforts might be helpful in counseling and preparing asylum applicants beyond those suggested by Professor Suzuki?</w:t>
      </w:r>
    </w:p>
    <w:p w:rsidR="00000000" w:rsidDel="00000000" w:rsidP="00000000" w:rsidRDefault="00000000" w:rsidRPr="00000000" w14:paraId="0000011C">
      <w:pPr>
        <w:spacing w:after="240" w:before="240" w:lineRule="auto"/>
        <w:rPr/>
      </w:pPr>
      <w:r w:rsidDel="00000000" w:rsidR="00000000" w:rsidRPr="00000000">
        <w:rPr>
          <w:rtl w:val="0"/>
        </w:rPr>
      </w:r>
    </w:p>
    <w:p w:rsidR="00000000" w:rsidDel="00000000" w:rsidP="00000000" w:rsidRDefault="00000000" w:rsidRPr="00000000" w14:paraId="0000011D">
      <w:pPr>
        <w:spacing w:after="240" w:before="240" w:lineRule="auto"/>
        <w:rPr/>
      </w:pPr>
      <w:r w:rsidDel="00000000" w:rsidR="00000000" w:rsidRPr="00000000">
        <w:rPr>
          <w:rtl w:val="0"/>
        </w:rPr>
      </w:r>
    </w:p>
    <w:p w:rsidR="00000000" w:rsidDel="00000000" w:rsidP="00000000" w:rsidRDefault="00000000" w:rsidRPr="00000000" w14:paraId="0000011E">
      <w:pPr>
        <w:spacing w:after="240" w:before="240" w:lineRule="auto"/>
        <w:rPr/>
      </w:pPr>
      <w:r w:rsidDel="00000000" w:rsidR="00000000" w:rsidRPr="00000000">
        <w:rPr>
          <w:rtl w:val="0"/>
        </w:rPr>
        <w:t xml:space="preserve">REAL ID. At the end of the chapter, consider this example of the application of the REAL ID act in an asylum case.</w:t>
      </w:r>
    </w:p>
    <w:p w:rsidR="00000000" w:rsidDel="00000000" w:rsidP="00000000" w:rsidRDefault="00000000" w:rsidRPr="00000000" w14:paraId="0000011F">
      <w:pPr>
        <w:spacing w:after="240" w:before="240" w:lineRule="auto"/>
        <w:rPr/>
      </w:pPr>
      <w:r w:rsidDel="00000000" w:rsidR="00000000" w:rsidRPr="00000000">
        <w:rPr>
          <w:rtl w:val="0"/>
        </w:rPr>
      </w:r>
    </w:p>
    <w:p w:rsidR="00000000" w:rsidDel="00000000" w:rsidP="00000000" w:rsidRDefault="00000000" w:rsidRPr="00000000" w14:paraId="00000120">
      <w:pPr>
        <w:spacing w:after="240" w:before="240" w:lineRule="auto"/>
        <w:rPr/>
      </w:pPr>
      <w:r w:rsidDel="00000000" w:rsidR="00000000" w:rsidRPr="00000000">
        <w:rPr>
          <w:rtl w:val="0"/>
        </w:rPr>
        <w:t xml:space="preserve">Ren v. Holder</w:t>
      </w:r>
    </w:p>
    <w:p w:rsidR="00000000" w:rsidDel="00000000" w:rsidP="00000000" w:rsidRDefault="00000000" w:rsidRPr="00000000" w14:paraId="00000121">
      <w:pPr>
        <w:spacing w:after="240" w:before="240" w:lineRule="auto"/>
        <w:rPr/>
      </w:pPr>
      <w:r w:rsidDel="00000000" w:rsidR="00000000" w:rsidRPr="00000000">
        <w:rPr>
          <w:rtl w:val="0"/>
        </w:rPr>
        <w:t xml:space="preserve">648 F.3d 1079 (9th Cir. 2011)</w:t>
      </w:r>
    </w:p>
    <w:p w:rsidR="00000000" w:rsidDel="00000000" w:rsidP="00000000" w:rsidRDefault="00000000" w:rsidRPr="00000000" w14:paraId="00000122">
      <w:pPr>
        <w:spacing w:after="240" w:before="240" w:lineRule="auto"/>
        <w:rPr/>
      </w:pPr>
      <w:r w:rsidDel="00000000" w:rsidR="00000000" w:rsidRPr="00000000">
        <w:rPr>
          <w:rtl w:val="0"/>
        </w:rPr>
        <w:t xml:space="preserve">Reinhardt, Circuit Judge:</w:t>
      </w:r>
    </w:p>
    <w:p w:rsidR="00000000" w:rsidDel="00000000" w:rsidP="00000000" w:rsidRDefault="00000000" w:rsidRPr="00000000" w14:paraId="00000123">
      <w:pPr>
        <w:spacing w:after="240" w:before="240" w:lineRule="auto"/>
        <w:rPr/>
      </w:pPr>
      <w:r w:rsidDel="00000000" w:rsidR="00000000" w:rsidRPr="00000000">
        <w:rPr>
          <w:rtl w:val="0"/>
        </w:rPr>
        <w:t xml:space="preserve">I.</w:t>
      </w:r>
    </w:p>
    <w:p w:rsidR="00000000" w:rsidDel="00000000" w:rsidP="00000000" w:rsidRDefault="00000000" w:rsidRPr="00000000" w14:paraId="00000124">
      <w:pPr>
        <w:spacing w:after="240" w:before="240" w:lineRule="auto"/>
        <w:rPr/>
      </w:pPr>
      <w:r w:rsidDel="00000000" w:rsidR="00000000" w:rsidRPr="00000000">
        <w:rPr>
          <w:rtl w:val="0"/>
        </w:rPr>
        <w:t xml:space="preserve">Yaogang Ren petitions for review of the denial of his application for asylum, withholding of removal, and protection under the United Nations Convention Against Torture. Because he filed his application after May 11, 2005, his case is governed by the credibility and corroboration standards set forth in the REAL ID Act. Applying those standards, we hold that the Immigration Judge’s (“IJ”) adverse credibility determination was impermissibly based on mischaracterizations of Ren’s testimony as well as inconsistencies that, considering the totality of the circumstances, were trivial. We further hold, however, that Ren was given the proper notice and opportunity to respond to the IJ’s request for corroborative evidence. Because Ren failed to provide that evidence and did not provide any explanation for his failure to do so, and because the IJ was not compelled to conclude that Ren met his burden of proof without that evidence, we deny his petition.</w:t>
      </w:r>
    </w:p>
    <w:p w:rsidR="00000000" w:rsidDel="00000000" w:rsidP="00000000" w:rsidRDefault="00000000" w:rsidRPr="00000000" w14:paraId="00000125">
      <w:pPr>
        <w:spacing w:after="240" w:before="240" w:lineRule="auto"/>
        <w:rPr/>
      </w:pPr>
      <w:r w:rsidDel="00000000" w:rsidR="00000000" w:rsidRPr="00000000">
        <w:rPr>
          <w:rtl w:val="0"/>
        </w:rPr>
        <w:t xml:space="preserve">II. Facts</w:t>
      </w:r>
    </w:p>
    <w:p w:rsidR="00000000" w:rsidDel="00000000" w:rsidP="00000000" w:rsidRDefault="00000000" w:rsidRPr="00000000" w14:paraId="00000126">
      <w:pPr>
        <w:spacing w:after="240" w:before="240" w:lineRule="auto"/>
        <w:rPr/>
      </w:pPr>
      <w:r w:rsidDel="00000000" w:rsidR="00000000" w:rsidRPr="00000000">
        <w:rPr>
          <w:rtl w:val="0"/>
        </w:rPr>
        <w:t xml:space="preserve">Yaogang Ren, a native and citizen of China, entered the United States on a nonimmigrant B-1 visa on February 27, 2005. On June 7, 2005, he filed an application for asylum, withholding of removal, and protection under the Convention Against Torture (“CAT”). In the statement submitted with his asylum application, and in his testimony before the IJ, he gave the following account of the events that led him to the United States and the subsequent relevant occurrences.</w:t>
      </w:r>
    </w:p>
    <w:p w:rsidR="00000000" w:rsidDel="00000000" w:rsidP="00000000" w:rsidRDefault="00000000" w:rsidRPr="00000000" w14:paraId="00000127">
      <w:pPr>
        <w:spacing w:after="240" w:before="240" w:lineRule="auto"/>
        <w:rPr/>
      </w:pPr>
      <w:r w:rsidDel="00000000" w:rsidR="00000000" w:rsidRPr="00000000">
        <w:rPr>
          <w:rtl w:val="0"/>
        </w:rPr>
        <w:t xml:space="preserve">In 2003, at a low-point in Ren’s life, when the spread of SARS had forced him to close his restaurant and he found himself out of work and depressed, a friend introduced him to Christianity. At his friend’s urging, Ren began to participate in underground church meetings, which were held in different private homes, including Ren’s, on a rotating basis. At those meetings, Ren “spread Gospel.” Soon, several members of the church helped him buy a truck, which allowed him to start a business transporting goods, and life started “getting better.”</w:t>
      </w:r>
    </w:p>
    <w:p w:rsidR="00000000" w:rsidDel="00000000" w:rsidP="00000000" w:rsidRDefault="00000000" w:rsidRPr="00000000" w14:paraId="00000128">
      <w:pPr>
        <w:spacing w:after="240" w:before="240" w:lineRule="auto"/>
        <w:rPr/>
      </w:pPr>
      <w:r w:rsidDel="00000000" w:rsidR="00000000" w:rsidRPr="00000000">
        <w:rPr>
          <w:rtl w:val="0"/>
        </w:rPr>
        <w:t xml:space="preserve">In 2004, Ren’s church activities came to the attention of the local police. Two police officers came to his home, placed him under arrest, and accused him of “spreading [an] evil cult and host[ing] superstitious gatherings at home to poison the innocent people.”</w:t>
      </w:r>
    </w:p>
    <w:p w:rsidR="00000000" w:rsidDel="00000000" w:rsidP="00000000" w:rsidRDefault="00000000" w:rsidRPr="00000000" w14:paraId="00000129">
      <w:pPr>
        <w:spacing w:after="240" w:before="240" w:lineRule="auto"/>
        <w:rPr/>
      </w:pPr>
      <w:r w:rsidDel="00000000" w:rsidR="00000000" w:rsidRPr="00000000">
        <w:rPr>
          <w:rtl w:val="0"/>
        </w:rPr>
        <w:t xml:space="preserve">The police detained Ren for five days. On the first day, two officers interrogated him for one to two hours. Ren told the officers that “the end of the world is coming and that God is going to come down to the earth.” The officers told Ren that he was “blinded by the religion.” During the interrogation, one of the officers picked up an ashtray and threw it at him. As Ren choked from breathing in the ashes, the officers started punching him and beating him with a baton. Ren was beaten “so badly [he] was on the floor. [He] wouldn’t dare come up.” Later, the officers demanded that he write a confession. When he refused, the officers deprived him of food and water. At another point, the officers told him that his “brain [wa]s damaged” and he needed to be “disinfect[ed]” by “communist sunshine.” They forced him to stand in the hot sun while wearing a raincoat. He sweated profusely and eventually fainted.</w:t>
      </w:r>
    </w:p>
    <w:p w:rsidR="00000000" w:rsidDel="00000000" w:rsidP="00000000" w:rsidRDefault="00000000" w:rsidRPr="00000000" w14:paraId="0000012A">
      <w:pPr>
        <w:spacing w:after="240" w:before="240" w:lineRule="auto"/>
        <w:rPr/>
      </w:pPr>
      <w:r w:rsidDel="00000000" w:rsidR="00000000" w:rsidRPr="00000000">
        <w:rPr>
          <w:rtl w:val="0"/>
        </w:rPr>
        <w:t xml:space="preserve">Ren was released on the fifth day of his detention, after his wife paid bail and he gave the police a letter in which he promised to “break away with Christianity and stop spreading Gospels.” The police then placed him under residential surveillance, and required him to check in with them every Monday. During these check-ins, police taunted him with comments like, “Why don’t you help me to call Jesus here? You kneel down and bow to me twice. I can help you then.” The police also confiscated the truck that he had been using for his delivery business, asserting that it did not pass the annual inspection test and was, therefore, illegal.</w:t>
      </w:r>
    </w:p>
    <w:p w:rsidR="00000000" w:rsidDel="00000000" w:rsidP="00000000" w:rsidRDefault="00000000" w:rsidRPr="00000000" w14:paraId="0000012B">
      <w:pPr>
        <w:spacing w:after="240" w:before="240" w:lineRule="auto"/>
        <w:rPr/>
      </w:pPr>
      <w:r w:rsidDel="00000000" w:rsidR="00000000" w:rsidRPr="00000000">
        <w:rPr>
          <w:rtl w:val="0"/>
        </w:rPr>
        <w:t xml:space="preserve">Unable to work or practice his religion, Ren decided that he could no longer remain in China. He secured a visa through a friend who solicited a “snakehead,” and set out for the U.S., leaving his wife and daughter behind.</w:t>
      </w:r>
    </w:p>
    <w:p w:rsidR="00000000" w:rsidDel="00000000" w:rsidP="00000000" w:rsidRDefault="00000000" w:rsidRPr="00000000" w14:paraId="0000012C">
      <w:pPr>
        <w:spacing w:after="240" w:before="240" w:lineRule="auto"/>
        <w:rPr/>
      </w:pPr>
      <w:r w:rsidDel="00000000" w:rsidR="00000000" w:rsidRPr="00000000">
        <w:rPr>
          <w:rtl w:val="0"/>
        </w:rPr>
        <w:t xml:space="preserve">Since arriving in the U.S., Ren has been in touch with his wife by phone. She informed him that the police had been to their house looking for him and that she had denied knowing where he was. The police were “very mad at [his] running away,” and had ordered him to come back immediately to “accept the judgment of the Party” for exposing his true face to “oppose the Party and the Government.” Ren “dare[s] not go back to China” for fear that he will be persecuted due to his involvement with Christianity.</w:t>
      </w:r>
    </w:p>
    <w:p w:rsidR="00000000" w:rsidDel="00000000" w:rsidP="00000000" w:rsidRDefault="00000000" w:rsidRPr="00000000" w14:paraId="0000012D">
      <w:pPr>
        <w:spacing w:after="240" w:before="240" w:lineRule="auto"/>
        <w:rPr/>
      </w:pPr>
      <w:r w:rsidDel="00000000" w:rsidR="00000000" w:rsidRPr="00000000">
        <w:rPr>
          <w:rtl w:val="0"/>
        </w:rPr>
        <w:t xml:space="preserve">Within one month of arriving in the United States, Ren became a member of the United Christian Church in Hacienda Heights, California. . . .</w:t>
      </w:r>
    </w:p>
    <w:p w:rsidR="00000000" w:rsidDel="00000000" w:rsidP="00000000" w:rsidRDefault="00000000" w:rsidRPr="00000000" w14:paraId="0000012E">
      <w:pPr>
        <w:spacing w:after="240" w:before="240" w:lineRule="auto"/>
        <w:rPr/>
      </w:pPr>
      <w:r w:rsidDel="00000000" w:rsidR="00000000" w:rsidRPr="00000000">
        <w:rPr>
          <w:rtl w:val="0"/>
        </w:rPr>
        <w:t xml:space="preserve">III. Proceedings Below</w:t>
      </w:r>
    </w:p>
    <w:p w:rsidR="00000000" w:rsidDel="00000000" w:rsidP="00000000" w:rsidRDefault="00000000" w:rsidRPr="00000000" w14:paraId="0000012F">
      <w:pPr>
        <w:spacing w:after="240" w:before="240" w:lineRule="auto"/>
        <w:rPr/>
      </w:pPr>
      <w:r w:rsidDel="00000000" w:rsidR="00000000" w:rsidRPr="00000000">
        <w:rPr>
          <w:rtl w:val="0"/>
        </w:rPr>
        <w:t xml:space="preserve">After he applied for asylum, Ren was interviewed by an asylum officer; that officer referred him to removal proceedings. On July 19, 2005, Ren was served with a Notice to Appear and charged with removability pursuant to 8 U.S.C. 1227 §(a)(1)(B) for overstaying his non-immigrant visa.</w:t>
      </w:r>
    </w:p>
    <w:p w:rsidR="00000000" w:rsidDel="00000000" w:rsidP="00000000" w:rsidRDefault="00000000" w:rsidRPr="00000000" w14:paraId="00000130">
      <w:pPr>
        <w:spacing w:after="240" w:before="240" w:lineRule="auto"/>
        <w:rPr/>
      </w:pPr>
      <w:r w:rsidDel="00000000" w:rsidR="00000000" w:rsidRPr="00000000">
        <w:rPr>
          <w:rtl w:val="0"/>
        </w:rPr>
        <w:t xml:space="preserve">Ren first appeared before an IJ on September 1, 2005. He conceded removability, but continued to seek asylum, withholding of removal, and CAT protection. On May 16, 2006, the IJ held a merits hearing, during which Ren testified. The IJ was not “prepared to issue a decision” on that day, so she recessed the hearing until May 26, 2006. On that date, the IJ informed Ren that he had not yet met his burden of proof, and that it was “really important for him to have corroborating evidence in this case.” She then granted a continuance to allow Ren to gather specific corroborating evidence. On October 31, 2006, when the hearing resumed and Ren failed to provide the requested evidence, the IJ determined that he had failed to meet his burden of proof to show past persecution or a well-founded fear of future prosecution, and denied his application for asylum, as well as all other relief. The IJ based her decision on two alternative grounds. First, she made an adverse credibility determination based on “inconsistencies between [Ren’s] testimony and his Declaration, as well as the inherent implausibility of his claim in comparison to his actions.” Second, she concluded that, even assuming Ren’s testimony had been credible, he “ha[d] failed to meet his burden of proof as he has failed to provide the readily available corroborating evidence in support of his claim.”</w:t>
      </w:r>
    </w:p>
    <w:p w:rsidR="00000000" w:rsidDel="00000000" w:rsidP="00000000" w:rsidRDefault="00000000" w:rsidRPr="00000000" w14:paraId="00000131">
      <w:pPr>
        <w:spacing w:after="240" w:before="240" w:lineRule="auto"/>
        <w:rPr/>
      </w:pPr>
      <w:r w:rsidDel="00000000" w:rsidR="00000000" w:rsidRPr="00000000">
        <w:rPr>
          <w:rtl w:val="0"/>
        </w:rPr>
        <w:t xml:space="preserve">Ren timely appealed the IJ’s decision to the BIA, which affirmed the IJ without opinion. Ren then filed a timely petition for review with this court.</w:t>
      </w:r>
    </w:p>
    <w:p w:rsidR="00000000" w:rsidDel="00000000" w:rsidP="00000000" w:rsidRDefault="00000000" w:rsidRPr="00000000" w14:paraId="00000132">
      <w:pPr>
        <w:spacing w:after="240" w:before="240" w:lineRule="auto"/>
        <w:rPr/>
      </w:pPr>
      <w:r w:rsidDel="00000000" w:rsidR="00000000" w:rsidRPr="00000000">
        <w:rPr>
          <w:rtl w:val="0"/>
        </w:rPr>
        <w:t xml:space="preserve">. . .</w:t>
      </w:r>
    </w:p>
    <w:p w:rsidR="00000000" w:rsidDel="00000000" w:rsidP="00000000" w:rsidRDefault="00000000" w:rsidRPr="00000000" w14:paraId="00000133">
      <w:pPr>
        <w:spacing w:after="240" w:before="240" w:lineRule="auto"/>
        <w:rPr/>
      </w:pPr>
      <w:r w:rsidDel="00000000" w:rsidR="00000000" w:rsidRPr="00000000">
        <w:rPr>
          <w:rtl w:val="0"/>
        </w:rPr>
        <w:t xml:space="preserve">V. Adverse credibility</w:t>
      </w:r>
    </w:p>
    <w:p w:rsidR="00000000" w:rsidDel="00000000" w:rsidP="00000000" w:rsidRDefault="00000000" w:rsidRPr="00000000" w14:paraId="00000134">
      <w:pPr>
        <w:spacing w:after="240" w:before="240" w:lineRule="auto"/>
        <w:rPr/>
      </w:pPr>
      <w:r w:rsidDel="00000000" w:rsidR="00000000" w:rsidRPr="00000000">
        <w:rPr>
          <w:rtl w:val="0"/>
        </w:rPr>
        <w:t xml:space="preserve">A.</w:t>
      </w:r>
    </w:p>
    <w:p w:rsidR="00000000" w:rsidDel="00000000" w:rsidP="00000000" w:rsidRDefault="00000000" w:rsidRPr="00000000" w14:paraId="00000135">
      <w:pPr>
        <w:spacing w:after="240" w:before="240" w:lineRule="auto"/>
        <w:rPr/>
      </w:pPr>
      <w:r w:rsidDel="00000000" w:rsidR="00000000" w:rsidRPr="00000000">
        <w:rPr>
          <w:rtl w:val="0"/>
        </w:rPr>
        <w:t xml:space="preserve">As this court recently explained at length, the REAL ID Act established new standards for adverse credibility determinations in proceedings on applications for asylum, withholding of removal, and CAT relief that, like Ren’s, were submitted on or after May 11, 2005. See Shrestha v. Holder, 590 F.3d 1034 (9th Cir. 2010). The primary change was that the REAL ID Act abrogated this circuit’s rule that inconsistencies that do not go to the heart of an applicant’s claim may not support an adverse credibility determination. See 8 U.S.C. §1158(b)(1)(B)(iii) (“[A] trier of fact may base a credibility determination on . . . any inaccuracies or falsehoods in [the applicant’s] statements, without regard to whether [they] go[] to the heart of the applicant’s claim.”). Under the REAL ID Act, the IJ may base an adverse credibility determination on any relevant factor that, considered in light of the totality of the circumstances, can reasonably be said to have a “bearing on a petitioner’s veracity.” Shrestha, 590 F.3d at 1044. Conversely, “[t]rivial inconsistencies that under the total circumstances have no bearing on a petitioner’s veracity should not form the basis of an adverse credibility determination.”</w:t>
      </w:r>
    </w:p>
    <w:p w:rsidR="00000000" w:rsidDel="00000000" w:rsidP="00000000" w:rsidRDefault="00000000" w:rsidRPr="00000000" w14:paraId="00000136">
      <w:pPr>
        <w:spacing w:after="240" w:before="240" w:lineRule="auto"/>
        <w:rPr/>
      </w:pPr>
      <w:r w:rsidDel="00000000" w:rsidR="00000000" w:rsidRPr="00000000">
        <w:rPr>
          <w:rtl w:val="0"/>
        </w:rPr>
        <w:t xml:space="preserve">Although the REAL ID Act expands the bases on which an IJ may rest an adverse credibility determination, it “does not give a blank check to the IJ enabling him or her to insulate an adverse credibility determination from our review of the reasonableness of that determination.” Id. at 1042. We must not forget that the stakes in asylum proceedings are high and that serious errors in decisions issued by overworked immigration judges and BIA officials are not unusual. Cf. Kadia v. Gonzales, 501 F.3d 817, 821 (7th Cir. 2007) (observing that “[r]epeated egregious failures of the Immigration Court and the Board to exercise care commensurate with the stakes in an asylum case can be understood, but not excused, as consequences of a crushing workload. . . .”).</w:t>
      </w:r>
    </w:p>
    <w:p w:rsidR="00000000" w:rsidDel="00000000" w:rsidP="00000000" w:rsidRDefault="00000000" w:rsidRPr="00000000" w14:paraId="00000137">
      <w:pPr>
        <w:spacing w:after="240" w:before="240" w:lineRule="auto"/>
        <w:rPr/>
      </w:pPr>
      <w:r w:rsidDel="00000000" w:rsidR="00000000" w:rsidRPr="00000000">
        <w:rPr>
          <w:rtl w:val="0"/>
        </w:rPr>
        <w:t xml:space="preserve">The REAL ID Act did not alter our “substantial evidence” standard of review for adverse credibility determinations. Shrestha, 590 F.3d at 1042. In order to continue to make this review possible, IJs remain obligated to provide “specific and cogent reasons supporting an adverse credibility determination.”</w:t>
      </w:r>
    </w:p>
    <w:p w:rsidR="00000000" w:rsidDel="00000000" w:rsidP="00000000" w:rsidRDefault="00000000" w:rsidRPr="00000000" w14:paraId="00000138">
      <w:pPr>
        <w:spacing w:after="240" w:before="240" w:lineRule="auto"/>
        <w:rPr/>
      </w:pPr>
      <w:r w:rsidDel="00000000" w:rsidR="00000000" w:rsidRPr="00000000">
        <w:rPr>
          <w:rtl w:val="0"/>
        </w:rPr>
        <w:t xml:space="preserve">As explained above, those reasons must consist of something more than “[t]rivial inconsistencies that under the total circumstances have no bearing on a petitioner’s veracity.” Id. at 1044. In reviewing the IJ’s adverse credibility determination, this court “must . . . take into account the totality of the circumstances, and should recognize that the normal limits of human understanding and memory may make some inconsistencies or lack of recall present in any witness’s case.” Id. at 1044-45. . . . [W]e note that the consistency of the applicant’s statements with the reports of the Department of State on country conditions is among the relevant factors that the IJ must consider in his review of the totality of the circumstances. 8 U.S.C. §1158(b)(1)(B)(iii).</w:t>
      </w:r>
    </w:p>
    <w:p w:rsidR="00000000" w:rsidDel="00000000" w:rsidP="00000000" w:rsidRDefault="00000000" w:rsidRPr="00000000" w14:paraId="00000139">
      <w:pPr>
        <w:spacing w:after="240" w:before="240" w:lineRule="auto"/>
        <w:rPr/>
      </w:pPr>
      <w:r w:rsidDel="00000000" w:rsidR="00000000" w:rsidRPr="00000000">
        <w:rPr>
          <w:rtl w:val="0"/>
        </w:rPr>
        <w:t xml:space="preserve">B.</w:t>
      </w:r>
    </w:p>
    <w:p w:rsidR="00000000" w:rsidDel="00000000" w:rsidP="00000000" w:rsidRDefault="00000000" w:rsidRPr="00000000" w14:paraId="0000013A">
      <w:pPr>
        <w:spacing w:after="240" w:before="240" w:lineRule="auto"/>
        <w:rPr/>
      </w:pPr>
      <w:r w:rsidDel="00000000" w:rsidR="00000000" w:rsidRPr="00000000">
        <w:rPr>
          <w:rtl w:val="0"/>
        </w:rPr>
        <w:t xml:space="preserve">With these rules in mind, we turn to the adverse credibility determination before us. The IJ cited five supposed inconsistencies or implausibilities as the basis for her determination that Ren was not credible. We discuss each in turn. See Kaur v. Ashcroft, 379 F.3d 876, 885 (9th Cir. 2004).</w:t>
      </w:r>
    </w:p>
    <w:p w:rsidR="00000000" w:rsidDel="00000000" w:rsidP="00000000" w:rsidRDefault="00000000" w:rsidRPr="00000000" w14:paraId="0000013B">
      <w:pPr>
        <w:spacing w:after="240" w:before="240" w:lineRule="auto"/>
        <w:rPr/>
      </w:pPr>
      <w:r w:rsidDel="00000000" w:rsidR="00000000" w:rsidRPr="00000000">
        <w:rPr>
          <w:rtl w:val="0"/>
        </w:rPr>
        <w:t xml:space="preserve">First, the IJ found it “significant” that, in Ren’s written statement, he had declared that he was placed in a raincoat and told to stand outside in the heat until he fell unconscious on the third day of his detention, whereas in court he testified that the incident took place on the second day. This inconsistency is manifestly trivial. We have previously recognized that victims of abuse “often confuse the details of particular incidents, including the time or dates of particular assaults and which specific actions occurred on which specific occasion.” Singh v. Gonzales, 403 F.3d 1081, 1091 (9th Cir. 2005). . . . Thus, “the ability to recall precise dates of events years after they happen is an extremely poor test of how truthful a witness’s substantive account is.” Id. Although the REAL ID Act now gives immigration judges the power to consider any inconsistency in evaluating an applicant’s credibility, the power to consider any inconsistency “is quite distinct from the issue of whether the inconsistencies cited support an adverse credibility determination.” Shrestha, 590 F.3d at 1043. . . . As explained above, to support an adverse credibility determination, an inconsistency must not be trivial and must have some bearing on the petitioner’s veracity. Id. at 1044. As we have repeatedly held, “minor discrepancies in dates that . . . cannot be viewed as attempts by the applicant to enhance his claims of persecution have no bearing on credibility.” Singh, 403 F.3d at 1092 (quoting Damaize-Job v. INS, 787 F.2d 1332, 1337 (9th Cir. 1986)). Considered under the totality of the circumstances, Ren’s uncertainty regarding whether he was made to pass out on the second or the third day of his detention says nothing about his truthfulness or the overall reliability of his account, nor was it an attempt to enhance his claims. Accordingly, it may not form a basis for an adverse credibility determination.</w:t>
      </w:r>
    </w:p>
    <w:p w:rsidR="00000000" w:rsidDel="00000000" w:rsidP="00000000" w:rsidRDefault="00000000" w:rsidRPr="00000000" w14:paraId="0000013C">
      <w:pPr>
        <w:spacing w:after="240" w:before="240" w:lineRule="auto"/>
        <w:rPr/>
      </w:pPr>
      <w:r w:rsidDel="00000000" w:rsidR="00000000" w:rsidRPr="00000000">
        <w:rPr>
          <w:rtl w:val="0"/>
        </w:rPr>
        <w:t xml:space="preserve">Second, the IJ found that Ren’s inability at the merits hearing “to provide even the month or the year [of his arrest] seriously undermines his credibility.” We disagree, particularly because the IJ’s characterization of Ren’s testimony is inaccurate. In his declaration, Ren stated that he was arrested on July 13, 2004. When questioned during his hearing, he could not provide the exact date of the arrest but stated that “four, five, [or] six months” had passed between his arrest and the date he left China for the United States. Ren left China on February 27, 2005. His testimony therefore narrowed the time frame of his arrest to a roughly accurate three-month period. Accordingly, the IJ’s conclusion that Ren had not provided “the month or the year” of his arrest was mistaken. As we explained above, given the recognized difficulty that people in general, and victims of abuse in particular, have with recalling dates, an asylum applicant’s failure to be specific about the date of a traumatic experience is rarely probative of his or her veracity. See Singh, 403 F.3d at 1090-92. In this case, considering the totality of the circumstances, including the fact that Ren’s testimony regarding his arrest date was roughly consistent with his declaration and narrowed that date to within a three-month time frame, his inability to provide a higher degree of specificity is not meaningful.</w:t>
      </w:r>
    </w:p>
    <w:p w:rsidR="00000000" w:rsidDel="00000000" w:rsidP="00000000" w:rsidRDefault="00000000" w:rsidRPr="00000000" w14:paraId="0000013D">
      <w:pPr>
        <w:spacing w:after="240" w:before="240" w:lineRule="auto"/>
        <w:rPr/>
      </w:pPr>
      <w:r w:rsidDel="00000000" w:rsidR="00000000" w:rsidRPr="00000000">
        <w:rPr>
          <w:rtl w:val="0"/>
        </w:rPr>
        <w:t xml:space="preserve">The third inconsistency the IJ noted also concerned a date, that of Ren’s baptism in China. Ren initially testified that he was baptized on October 17, 2004. Shortly thereafter, the IJ asked him again about the date of his baptism, and Ren corrected himself, replying, “2003 or 2004, October 17, 2003.” He then adhered to the 2003 date, which is consistent with the baptismal date in his declaration. When asked why he had initially given the year as 2004, Ren explained that he simply made a mistake the first time — that he “remember[ed] it wrong” and “said it wrong.” The IJ found Ren’s testimony on his baptismal date to be “questionable at best,” and found it “unpersuasive” that Ren referred to this as a “monumental day in his life” and yet “made a mistake” about the date. In coming to this conclusion, the IJ once again mischaracterized Ren’s testimony. The IJ stated,</w:t>
      </w:r>
    </w:p>
    <w:p w:rsidR="00000000" w:rsidDel="00000000" w:rsidP="00000000" w:rsidRDefault="00000000" w:rsidRPr="00000000" w14:paraId="0000013E">
      <w:pPr>
        <w:spacing w:after="240" w:before="240" w:lineRule="auto"/>
        <w:rPr/>
      </w:pPr>
      <w:r w:rsidDel="00000000" w:rsidR="00000000" w:rsidRPr="00000000">
        <w:rPr>
          <w:rtl w:val="0"/>
        </w:rPr>
        <w:t xml:space="preserve">He initially testified that he was baptized on October 17, 2004. The Court then asked him if he is certain about that date considering that the Declaration stated it occurred in 2003. At which point the Respondent testified that he is not sure. It could be 2003 or 2004.</w:t>
      </w:r>
    </w:p>
    <w:p w:rsidR="00000000" w:rsidDel="00000000" w:rsidP="00000000" w:rsidRDefault="00000000" w:rsidRPr="00000000" w14:paraId="0000013F">
      <w:pPr>
        <w:spacing w:after="240" w:before="240" w:lineRule="auto"/>
        <w:rPr/>
      </w:pPr>
      <w:r w:rsidDel="00000000" w:rsidR="00000000" w:rsidRPr="00000000">
        <w:rPr>
          <w:rtl w:val="0"/>
        </w:rPr>
        <w:t xml:space="preserve">The IJ’s account is disturbingly inaccurate. In reality, the IJ merely asked Ren again when he was baptized, without noting any inconsistency between his prior testimony and his declaration. At that point, Ren voluntarily corrected himself, and then repeated the 2003 date several times. The IJ’s version of events, which includes her leading Ren to change his testimony to cure the alleged inconsistency with his declaration, simply has no basis in the record.</w:t>
      </w:r>
    </w:p>
    <w:p w:rsidR="00000000" w:rsidDel="00000000" w:rsidP="00000000" w:rsidRDefault="00000000" w:rsidRPr="00000000" w14:paraId="00000140">
      <w:pPr>
        <w:spacing w:after="240" w:before="240" w:lineRule="auto"/>
        <w:rPr/>
      </w:pPr>
      <w:r w:rsidDel="00000000" w:rsidR="00000000" w:rsidRPr="00000000">
        <w:rPr>
          <w:rtl w:val="0"/>
        </w:rPr>
        <w:t xml:space="preserve">In reviewing an adverse credibility determination, “the mistakes that witnesses make in all innocence must be distinguished from slips that, whether or not they go to the core of the witness’s testimony, show that the witness is a liar or his memory completely unreliable.” Kadia, 501 F.3d at 822. Here, Ren’s initial error regarding the year of his baptism was quite clearly a quickly-corrected innocent mistake. As such, it cannot form the basis for an adverse credibility determination.</w:t>
      </w:r>
    </w:p>
    <w:p w:rsidR="00000000" w:rsidDel="00000000" w:rsidP="00000000" w:rsidRDefault="00000000" w:rsidRPr="00000000" w14:paraId="00000141">
      <w:pPr>
        <w:spacing w:after="240" w:before="240" w:lineRule="auto"/>
        <w:rPr/>
      </w:pPr>
      <w:r w:rsidDel="00000000" w:rsidR="00000000" w:rsidRPr="00000000">
        <w:rPr>
          <w:rtl w:val="0"/>
        </w:rPr>
        <w:t xml:space="preserve">The IJ next found that Ren’s testimony regarding the regularity of his church attendance “seriously undermines [his] credibility” by demonstrating “the inherent implausibility of his claim in comparison to his actions.” See 8 U.S.C. §1158(b)(1)(B)(iii). Yet again, the IJ mischaracterizes Ren’s testimony. Ren stated that he attends church on a weekly basis, usually on Friday evenings and sometimes also on Sundays. He explained that sometimes he misses services because he has to perform odd jobs to support himself, and occasionally those jobs conflict with his time of church attendance. He testified that he attends services “every time when the friend at church has a car to come pick [him] up.” He further explained that “[e]very time [the church] would send a car . . . including the Friday night. It’s the same way, they come to fetch us.”</w:t>
      </w:r>
    </w:p>
    <w:p w:rsidR="00000000" w:rsidDel="00000000" w:rsidP="00000000" w:rsidRDefault="00000000" w:rsidRPr="00000000" w14:paraId="00000142">
      <w:pPr>
        <w:spacing w:after="240" w:before="240" w:lineRule="auto"/>
        <w:rPr/>
      </w:pPr>
      <w:r w:rsidDel="00000000" w:rsidR="00000000" w:rsidRPr="00000000">
        <w:rPr>
          <w:rtl w:val="0"/>
        </w:rPr>
        <w:t xml:space="preserve">The IJ interpreted Ren’s statements to mean that church attendance was a “low priority” for him and inferred that Ren was not a committed Christian because he only went to church “if he ha[d] no other plans for his day” and was unwilling to “take public transportation to church or join[ ] a church that is within walking distant [sic] to [him].” It is clear from the record, however, that Ren said only that he sometimes has to miss services because of work conflicts, and that he takes advantage of the transportation services regularly provided by the church. That Ren must occasionally miss church services in order to sustain his livelihood, or that he gets a ride to church rather than taking the bus, in no way undermines the genuineness of his belief or the importance to him of living in a country where he can freely practice his religion. The IJ’s findings to the contrary are entirely speculative and do not constitute substantial evidence. See Shah v. INS, 220 F.3d 1062, 1069 (9th Cir. 2000).</w:t>
      </w:r>
    </w:p>
    <w:p w:rsidR="00000000" w:rsidDel="00000000" w:rsidP="00000000" w:rsidRDefault="00000000" w:rsidRPr="00000000" w14:paraId="00000143">
      <w:pPr>
        <w:spacing w:after="240" w:before="240" w:lineRule="auto"/>
        <w:rPr/>
      </w:pPr>
      <w:r w:rsidDel="00000000" w:rsidR="00000000" w:rsidRPr="00000000">
        <w:rPr>
          <w:rtl w:val="0"/>
        </w:rPr>
        <w:t xml:space="preserve">Finally, the IJ found Ren not credible because his “knowledge of Christianity was at best less than basic.” The IJ found that Ren’s recitation of the Lord’s Prayer was “clearly incorrect as [the prayer] had references to [Ren] and his desire to bring his family to the United States.” The record on this issue contains a confusing exchange between Ren and the government attorney. It is not clear whether Ren understood that he was being asked to recite the particular prayer known as the “Lord’s Prayer” rather than to offer a prayer to the Lord. In addition, the IJ could only speculate that the “Lord’s Prayer” was called by the same name in China; no basis for that conclusion is found in the record.</w:t>
      </w:r>
    </w:p>
    <w:p w:rsidR="00000000" w:rsidDel="00000000" w:rsidP="00000000" w:rsidRDefault="00000000" w:rsidRPr="00000000" w14:paraId="00000144">
      <w:pPr>
        <w:spacing w:after="240" w:before="240" w:lineRule="auto"/>
        <w:rPr/>
      </w:pPr>
      <w:r w:rsidDel="00000000" w:rsidR="00000000" w:rsidRPr="00000000">
        <w:rPr>
          <w:rtl w:val="0"/>
        </w:rPr>
        <w:t xml:space="preserve">In general, questioning an applicant on his knowledge of religious doctrine to determine if he is a true believer is not an appropriate method of determining eligibility for asylum. As the Second Circuit has recognized:</w:t>
      </w:r>
    </w:p>
    <w:p w:rsidR="00000000" w:rsidDel="00000000" w:rsidP="00000000" w:rsidRDefault="00000000" w:rsidRPr="00000000" w14:paraId="00000145">
      <w:pPr>
        <w:spacing w:after="240" w:before="240" w:lineRule="auto"/>
        <w:rPr/>
      </w:pPr>
      <w:r w:rsidDel="00000000" w:rsidR="00000000" w:rsidRPr="00000000">
        <w:rPr>
          <w:rtl w:val="0"/>
        </w:rPr>
        <w:t xml:space="preserve">[b]oth history and common sense make amply clear that people can identify with a certain religion, notwithstanding their lack of detailed knowledge about that religion’s doctrinal tenets, and that those same people can be persecuted for their religious affiliation. Such individuals are just as eligible for asylum on religious persecution grounds as are those with more detailed doctrinal knowledge.</w:t>
      </w:r>
    </w:p>
    <w:p w:rsidR="00000000" w:rsidDel="00000000" w:rsidP="00000000" w:rsidRDefault="00000000" w:rsidRPr="00000000" w14:paraId="00000146">
      <w:pPr>
        <w:spacing w:after="240" w:before="240" w:lineRule="auto"/>
        <w:rPr/>
      </w:pPr>
      <w:r w:rsidDel="00000000" w:rsidR="00000000" w:rsidRPr="00000000">
        <w:rPr>
          <w:rtl w:val="0"/>
        </w:rPr>
        <w:t xml:space="preserve">Rizal v. Gonzales, 442 F.3d 84, 90 (2d Cir. 2006); see also Yan v. Gonzales, 438 F.3d 1249, 1255 (10th Cir. 2006) (“[A] detailed knowledge of Christian doctrine may be irrelevant to the sincerity of an applicant’s belief; a recent convert may well lack detailed knowledge of religious custom.”) (citing Ahmadshah v. Ashcroft, 396 F.3d 917, 920 n.2 (8th Cir. 2005)).</w:t>
      </w:r>
    </w:p>
    <w:p w:rsidR="00000000" w:rsidDel="00000000" w:rsidP="00000000" w:rsidRDefault="00000000" w:rsidRPr="00000000" w14:paraId="00000147">
      <w:pPr>
        <w:spacing w:after="240" w:before="240" w:lineRule="auto"/>
        <w:rPr/>
      </w:pPr>
      <w:r w:rsidDel="00000000" w:rsidR="00000000" w:rsidRPr="00000000">
        <w:rPr>
          <w:rtl w:val="0"/>
        </w:rPr>
        <w:t xml:space="preserve">Given that the record reveals no evidence of what the Lord’s Prayer is called in China or whether someone of Ren’s background would have learned that prayer, the fact that Ren did not accurately recite it says nothing about the “inherent plausibility” of his claim. While giving unwarranted significance to Ren’s failure to recite the “Lord’s Prayer,” the IJ overlooked other testimony that did reflect Ren’s knowledge of Christianity. Ren accurately answered that Adam and Eve were in the Garden of Eden and that Jesus died on the cross, and explained that “Christianity is belief in God, belief in the end of the world, believes [sic] Jesus is the only Savior.” In light of the totality of this testimony, and the problems with doctrinal questioning generally, we conclude that Ren’s failure to recite the Lord’s Prayer accurately is trivial and does not support an adverse credibility determination.</w:t>
      </w:r>
    </w:p>
    <w:p w:rsidR="00000000" w:rsidDel="00000000" w:rsidP="00000000" w:rsidRDefault="00000000" w:rsidRPr="00000000" w14:paraId="00000148">
      <w:pPr>
        <w:spacing w:after="240" w:before="240" w:lineRule="auto"/>
        <w:rPr/>
      </w:pPr>
      <w:r w:rsidDel="00000000" w:rsidR="00000000" w:rsidRPr="00000000">
        <w:rPr>
          <w:rtl w:val="0"/>
        </w:rPr>
        <w:t xml:space="preserve">C.</w:t>
      </w:r>
    </w:p>
    <w:p w:rsidR="00000000" w:rsidDel="00000000" w:rsidP="00000000" w:rsidRDefault="00000000" w:rsidRPr="00000000" w14:paraId="00000149">
      <w:pPr>
        <w:spacing w:after="240" w:before="240" w:lineRule="auto"/>
        <w:rPr/>
      </w:pPr>
      <w:r w:rsidDel="00000000" w:rsidR="00000000" w:rsidRPr="00000000">
        <w:rPr>
          <w:rtl w:val="0"/>
        </w:rPr>
        <w:t xml:space="preserve">Under the REAL ID Act, even minor inconsistencies that have a bearing on a petitioner’s veracity may constitute the basis for an adverse credibility determination. Shrestha, 590 F.3d at 1044. In this case, however, the IJ’s adverse credibility determination rested largely on mischaracterizations of Ren’s testimony that are belied by the record. To the extent that the inconsistencies and implausibilities cited by the IJ do exist, they are manifestly trivial and have no bearing on Ren’s veracity.</w:t>
      </w:r>
    </w:p>
    <w:p w:rsidR="00000000" w:rsidDel="00000000" w:rsidP="00000000" w:rsidRDefault="00000000" w:rsidRPr="00000000" w14:paraId="0000014A">
      <w:pPr>
        <w:spacing w:after="240" w:before="240" w:lineRule="auto"/>
        <w:rPr/>
      </w:pPr>
      <w:r w:rsidDel="00000000" w:rsidR="00000000" w:rsidRPr="00000000">
        <w:rPr>
          <w:rtl w:val="0"/>
        </w:rPr>
        <w:t xml:space="preserve">Aside from these trivial inconsistencies, Ren’s testimony was overwhelmingly consistent with both his prior statements and with the country reports that he submitted as supporting evidence. The 2005 State Department Country Report on China, which Ren submitted into evidence at his hearing, confirms that the Chinese government had “continued its repression of groups that it determined to be ‘cults’” and that “[a]uthorities frequently disrupted [Christian] house church meetings and retreats and detained leaders and church members.” It further confirms that detained church members were at times subject to physical abuse and extended imprisonment. Consistency with the country reports provided by the Department of State is one of the enumerated factors to be considered by the IJ in evaluating the “totality of the circumstances” for a credibility determination. See 8 U.S.C. §1158(b)(1)(B)(iii).</w:t>
      </w:r>
    </w:p>
    <w:p w:rsidR="00000000" w:rsidDel="00000000" w:rsidP="00000000" w:rsidRDefault="00000000" w:rsidRPr="00000000" w14:paraId="0000014B">
      <w:pPr>
        <w:spacing w:after="240" w:before="240" w:lineRule="auto"/>
        <w:rPr/>
      </w:pPr>
      <w:r w:rsidDel="00000000" w:rsidR="00000000" w:rsidRPr="00000000">
        <w:rPr>
          <w:rtl w:val="0"/>
        </w:rPr>
        <w:t xml:space="preserve">We conclude that, “[c]onsidering the totality of the circumstances, and all relevant factors,” 8 U.S.C. §1158(b)(1)(B)(iii), the inconsistencies cited by the IJ are, both on their own and in the aggregate, manifestly trivial. Because the IJ’s adverse credibility determination thus rests on impermissible grounds, we reverse that determination and deem Ren’s testimony credible. See Kaur, 379 F.3d at 890.</w:t>
      </w:r>
    </w:p>
    <w:p w:rsidR="00000000" w:rsidDel="00000000" w:rsidP="00000000" w:rsidRDefault="00000000" w:rsidRPr="00000000" w14:paraId="0000014C">
      <w:pPr>
        <w:spacing w:after="240" w:before="240" w:lineRule="auto"/>
        <w:rPr/>
      </w:pPr>
      <w:r w:rsidDel="00000000" w:rsidR="00000000" w:rsidRPr="00000000">
        <w:rPr>
          <w:rtl w:val="0"/>
        </w:rPr>
        <w:t xml:space="preserve">VI. Corroboration</w:t>
      </w:r>
    </w:p>
    <w:p w:rsidR="00000000" w:rsidDel="00000000" w:rsidP="00000000" w:rsidRDefault="00000000" w:rsidRPr="00000000" w14:paraId="0000014D">
      <w:pPr>
        <w:spacing w:after="240" w:before="240" w:lineRule="auto"/>
        <w:rPr/>
      </w:pPr>
      <w:r w:rsidDel="00000000" w:rsidR="00000000" w:rsidRPr="00000000">
        <w:rPr>
          <w:rtl w:val="0"/>
        </w:rPr>
        <w:t xml:space="preserve">Having concluded that the IJ’s adverse credibility determination was not supported by substantial evidence, we now consider whether Ren’s application was nonetheless properly denied on the alternative ground that he failed to provide sufficient corroborating evidence when requested to do so, and therefore failed to meet his burden of proof.</w:t>
      </w:r>
    </w:p>
    <w:p w:rsidR="00000000" w:rsidDel="00000000" w:rsidP="00000000" w:rsidRDefault="00000000" w:rsidRPr="00000000" w14:paraId="0000014E">
      <w:pPr>
        <w:spacing w:after="240" w:before="240" w:lineRule="auto"/>
        <w:rPr/>
      </w:pPr>
      <w:r w:rsidDel="00000000" w:rsidR="00000000" w:rsidRPr="00000000">
        <w:rPr>
          <w:rtl w:val="0"/>
        </w:rPr>
        <w:t xml:space="preserve">A.</w:t>
      </w:r>
    </w:p>
    <w:p w:rsidR="00000000" w:rsidDel="00000000" w:rsidP="00000000" w:rsidRDefault="00000000" w:rsidRPr="00000000" w14:paraId="0000014F">
      <w:pPr>
        <w:spacing w:after="240" w:before="240" w:lineRule="auto"/>
        <w:rPr/>
      </w:pPr>
      <w:r w:rsidDel="00000000" w:rsidR="00000000" w:rsidRPr="00000000">
        <w:rPr>
          <w:rtl w:val="0"/>
        </w:rPr>
        <w:t xml:space="preserve">In addition to changing the standards for adverse credibility determinations in asylum proceedings, the REAL ID Act altered this court’s rules regarding when an asylum applicant may be required to provide corroboration to meet his burden of proof. Prior to the REAL ID Act, we had long held “that the BIA may not require independent corroborative evidence from an asylum applicant who testifies credibly in support of his application.” Kataria v. INS, 232 F.3d 1107, 1113 (9th Cir. 2000); Ladha v. INS, 215 F.3d 889, 901 (9th Cir. 2000) (collecting cases). But, as we recently recognized, “Congress abrogated these holdings in the REAL ID Act of 2005.” Aden v. Holder, 589 F.3d 1040, 1044 (9th Cir. 2009). In Aden, we found that “[t]he statutory phrase ‘[The testimony of an applicant] may be sufficient to sustain the applicant’s burden without corroboration’ implies that the testimony may not be sufficient.” Id. (quoting 8 U.S.C. §1158(b)(1)(B)(ii)).</w:t>
      </w:r>
    </w:p>
    <w:p w:rsidR="00000000" w:rsidDel="00000000" w:rsidP="00000000" w:rsidRDefault="00000000" w:rsidRPr="00000000" w14:paraId="00000150">
      <w:pPr>
        <w:spacing w:after="240" w:before="240" w:lineRule="auto"/>
        <w:rPr/>
      </w:pPr>
      <w:r w:rsidDel="00000000" w:rsidR="00000000" w:rsidRPr="00000000">
        <w:rPr>
          <w:rtl w:val="0"/>
        </w:rPr>
        <w:t xml:space="preserve">In this case, after hearing the evidence presented, principally Ren’s testimony, the IJ first adjourned the hearing for ten days and then granted a five-month continuance to enable Ren to obtain corroborating evidence of his arrest in China and his religious activity in the United States. In granting the continuance, the IJ stated that Ren had not yet met his burden of proof, and advised Ren that under the REAL ID Act, he was required to provide further corroboration in order to do so. The IJ made clear the evidence that would serve to corroborate his past persecution in China: a bail receipt that Ren had testified was available and would show that he had in fact been arrested. The IJ also made clear the evidence that would corroborate his current practice of Christianity: testimony from his pastor and a certificate documenting his baptism in the United States. At the third hearing, Ren failed to submit any of these three items of evidence. The IJ did not ask Ren why he had failed to submit any of them, and Ren did not offer any explanation. The IJ concluded, however, that Ren had failed to meet his burden of proof because he had failed to provide the requisite corroborating evidence or explain why he had failed to do so.</w:t>
      </w:r>
    </w:p>
    <w:p w:rsidR="00000000" w:rsidDel="00000000" w:rsidP="00000000" w:rsidRDefault="00000000" w:rsidRPr="00000000" w14:paraId="00000151">
      <w:pPr>
        <w:spacing w:after="240" w:before="240" w:lineRule="auto"/>
        <w:rPr/>
      </w:pPr>
      <w:r w:rsidDel="00000000" w:rsidR="00000000" w:rsidRPr="00000000">
        <w:rPr>
          <w:rtl w:val="0"/>
        </w:rPr>
        <w:t xml:space="preserve">B.</w:t>
      </w:r>
    </w:p>
    <w:p w:rsidR="00000000" w:rsidDel="00000000" w:rsidP="00000000" w:rsidRDefault="00000000" w:rsidRPr="00000000" w14:paraId="00000152">
      <w:pPr>
        <w:spacing w:after="240" w:before="240" w:lineRule="auto"/>
        <w:rPr/>
      </w:pPr>
      <w:r w:rsidDel="00000000" w:rsidR="00000000" w:rsidRPr="00000000">
        <w:rPr>
          <w:rtl w:val="0"/>
        </w:rPr>
        <w:t xml:space="preserve">We must first decide whether under the REAL ID Act, the IJ, having concluded that corroborative evidence was necessary, was required to give Ren notice of that decision and provide him with an opportunity to obtain the required evidence or explain his failure to do so. A plain reading of the statute’s text makes clear that an IJ must provide an applicant with notice and an opportunity to either produce the evidence or explain why it is unavailable before ruling that the applicant has failed in his obligation to provide corroborative evidence and therefore failed to meet his burden of proof.</w:t>
      </w:r>
    </w:p>
    <w:p w:rsidR="00000000" w:rsidDel="00000000" w:rsidP="00000000" w:rsidRDefault="00000000" w:rsidRPr="00000000" w14:paraId="00000153">
      <w:pPr>
        <w:spacing w:after="240" w:before="240" w:lineRule="auto"/>
        <w:rPr/>
      </w:pPr>
      <w:r w:rsidDel="00000000" w:rsidR="00000000" w:rsidRPr="00000000">
        <w:rPr>
          <w:rtl w:val="0"/>
        </w:rPr>
        <w:t xml:space="preserve">The relevant subsection of Act provides in full:</w:t>
      </w:r>
    </w:p>
    <w:p w:rsidR="00000000" w:rsidDel="00000000" w:rsidP="00000000" w:rsidRDefault="00000000" w:rsidRPr="00000000" w14:paraId="00000154">
      <w:pPr>
        <w:spacing w:after="240" w:before="240" w:lineRule="auto"/>
        <w:rPr/>
      </w:pPr>
      <w:r w:rsidDel="00000000" w:rsidR="00000000" w:rsidRPr="00000000">
        <w:rPr>
          <w:rtl w:val="0"/>
        </w:rPr>
        <w:t xml:space="preserve">The testimony of the applicant may be sufficient to sustain the applicant’s burden without corroboration, but only if the applicant satisfies the trier of fact that the applicant’s testimony is credible, is persuasive, and refers to specific facts sufficient to demonstrate that the applicant is a refugee. In determining whether the applicant has met the applicant’s burden, the trier of fact may weigh the credible testimony along with other evidence of record. Where the trier of fact determines that the applicant should provide evidence that corroborates otherwise credible testimony, such evidence must be provided unless the applicant does not have the evidence and cannot reasonably obtain the evidence.</w:t>
      </w:r>
    </w:p>
    <w:p w:rsidR="00000000" w:rsidDel="00000000" w:rsidP="00000000" w:rsidRDefault="00000000" w:rsidRPr="00000000" w14:paraId="00000155">
      <w:pPr>
        <w:spacing w:after="240" w:before="240" w:lineRule="auto"/>
        <w:rPr/>
      </w:pPr>
      <w:r w:rsidDel="00000000" w:rsidR="00000000" w:rsidRPr="00000000">
        <w:rPr>
          <w:rtl w:val="0"/>
        </w:rPr>
        <w:t xml:space="preserve">8 U.S.C. §1158(b)(1)(B)(ii).</w:t>
      </w:r>
    </w:p>
    <w:p w:rsidR="00000000" w:rsidDel="00000000" w:rsidP="00000000" w:rsidRDefault="00000000" w:rsidRPr="00000000" w14:paraId="00000156">
      <w:pPr>
        <w:spacing w:after="240" w:before="240" w:lineRule="auto"/>
        <w:rPr/>
      </w:pPr>
      <w:r w:rsidDel="00000000" w:rsidR="00000000" w:rsidRPr="00000000">
        <w:rPr>
          <w:rtl w:val="0"/>
        </w:rPr>
        <w:t xml:space="preserve">The Act requires that the IJ first “determin[e] whether the applicant has met the applicant’s burden, . . . weigh[ing] the credible testimony along with the other evidence of record.” 8 U.S.C. §1158(b)(1)(B)(ii). The statute then goes on to address a subset of such determinations: those that find an applicant’s testimony credible, but nonetheless insufficient to meet his burden. In such cases, the statute continues, “[w]here the trier of fact [i.e., the IJ] determines that the applicant should provide evidence that corroborates otherwise credible testimony, such evidence must be provided unless the applicant does not have the evidence and cannot reasonably obtain the evidence.” Id. (emphases added).</w:t>
      </w:r>
    </w:p>
    <w:p w:rsidR="00000000" w:rsidDel="00000000" w:rsidP="00000000" w:rsidRDefault="00000000" w:rsidRPr="00000000" w14:paraId="00000157">
      <w:pPr>
        <w:spacing w:after="240" w:before="240" w:lineRule="auto"/>
        <w:rPr/>
      </w:pPr>
      <w:r w:rsidDel="00000000" w:rsidR="00000000" w:rsidRPr="00000000">
        <w:rPr>
          <w:rtl w:val="0"/>
        </w:rPr>
        <w:t xml:space="preserve">We will evaluate each part of the relevant statutory sentence in turn. First, it is only when the IJ determines that such corroborative evidence is necessary that the applicant must then provide it. “Where” . . . in this context is equivalent to “if” or “when,” see Bryan A. Garner, A Dictionary of Modern Legal Usage 928 (2d ed. 1995); accord Black’s Law Dictionary 1596 (6th ed. 1990) (“If; in the case of; in the event that.”). Once the IJ has decided that he is not persuaded by the applicant’s otherwise credible testimony, he may “determine[ ] that the applicant should provide evidence that corroborates” that testimony. 8 U.S.C. §1158(b)(1)(B)(ii) (emphasis added.) “Congress’s use of a verb tense is significant in construing statutes.” United States v. Wilson, 503 U.S. 329, 333, 112 S. Ct. 1351, 117 L. Ed. 2d 593 (1992). Here, the Act does not say “should have provided,” but rather “should provide,” which expresses an imperative that the applicant must provide further corroboration in response to the IJ’s determination. The applicant cannot act on the IJ’s determination that he “should provide” corroboration, of course, if he is not given notice of that determination until it is too late to do so.</w:t>
      </w:r>
    </w:p>
    <w:p w:rsidR="00000000" w:rsidDel="00000000" w:rsidP="00000000" w:rsidRDefault="00000000" w:rsidRPr="00000000" w14:paraId="00000158">
      <w:pPr>
        <w:spacing w:after="240" w:before="240" w:lineRule="auto"/>
        <w:rPr/>
      </w:pPr>
      <w:r w:rsidDel="00000000" w:rsidR="00000000" w:rsidRPr="00000000">
        <w:rPr>
          <w:rtl w:val="0"/>
        </w:rPr>
        <w:t xml:space="preserve">Second, the grammatical structure of the controlling clause makes the provision’s meaning absolutely clear. The statute requires that corroborating evidence “must be provided” in the event that the IJ determines that it should be provided. Again, this language focuses on conduct that follows the IJ’s determination, not precedes it, as the phrase “must have been provided” would do, and as with the clause above, the statute’s future directed language means that the applicant must be informed of the corroboration that is required. Third, the statute goes on to excuse an applicant from satisfying the IJ’s request for corroboration if he “does not have the evidence and cannot reasonably obtain it.” This language is present- and future-oriented as well; the statute does not say “unless the applicant did not have the evidence and could not have reasonably obtained the evidence.” Therefore, if the IJ decides that the applicant should provide corroboration, the applicant must then have an opportunity to provide it, or to explain that he does not have it and “cannot reasonably obtain it.” It would make no sense to ask whether the applicant can obtain the information unless he is to be given a chance to do so.</w:t>
      </w:r>
    </w:p>
    <w:p w:rsidR="00000000" w:rsidDel="00000000" w:rsidP="00000000" w:rsidRDefault="00000000" w:rsidRPr="00000000" w14:paraId="00000159">
      <w:pPr>
        <w:spacing w:after="240" w:before="240" w:lineRule="auto"/>
        <w:rPr/>
      </w:pPr>
      <w:r w:rsidDel="00000000" w:rsidR="00000000" w:rsidRPr="00000000">
        <w:rPr>
          <w:rtl w:val="0"/>
        </w:rPr>
        <w:t xml:space="preserve">Accordingly, the statute is clear. An applicant must be given notice of the corroboration required, and an opportunity to either provide that corroboration or explain why he cannot do so. Because “the intent of Congress is clear, that is the end of the matter; for the court, as well as the agency, must give effect to the unambiguously expressed intent of Congress.” Chevron U.S.A. Inc. v. Natural Res. Def. Council, Inc., 467 U.S. 837, 843, 104 S. Ct. 2778, 81 L. Ed. 2d 694 (1984).</w:t>
      </w:r>
    </w:p>
    <w:p w:rsidR="00000000" w:rsidDel="00000000" w:rsidP="00000000" w:rsidRDefault="00000000" w:rsidRPr="00000000" w14:paraId="0000015A">
      <w:pPr>
        <w:spacing w:after="240" w:before="240" w:lineRule="auto"/>
        <w:rPr/>
      </w:pPr>
      <w:r w:rsidDel="00000000" w:rsidR="00000000" w:rsidRPr="00000000">
        <w:rPr>
          <w:rtl w:val="0"/>
        </w:rPr>
        <w:t xml:space="preserve">. . .</w:t>
      </w:r>
    </w:p>
    <w:p w:rsidR="00000000" w:rsidDel="00000000" w:rsidP="00000000" w:rsidRDefault="00000000" w:rsidRPr="00000000" w14:paraId="0000015B">
      <w:pPr>
        <w:spacing w:after="240" w:before="240" w:lineRule="auto"/>
        <w:rPr/>
      </w:pPr>
      <w:r w:rsidDel="00000000" w:rsidR="00000000" w:rsidRPr="00000000">
        <w:rPr>
          <w:rtl w:val="0"/>
        </w:rPr>
        <w:t xml:space="preserve">Therefore, the IJ must undertake the following sequential analysis. To begin, the IJ must determine whether an applicant’s credible testimony alone meets the applicant’s burden of proof. If it does, no corroborative evidence is necessary. If a credible applicant has not yet met his burden of proof, then the IJ may require corroborative evidence. If corroboration is needed, however, the IJ must give the applicant notice of the corroboration that is required and an opportunity either to produce the requisite corroborative evidence or to explain why that evidence is not reasonably available.</w:t>
      </w:r>
    </w:p>
    <w:p w:rsidR="00000000" w:rsidDel="00000000" w:rsidP="00000000" w:rsidRDefault="00000000" w:rsidRPr="00000000" w14:paraId="0000015C">
      <w:pPr>
        <w:spacing w:after="240" w:before="240" w:lineRule="auto"/>
        <w:rPr/>
      </w:pPr>
      <w:r w:rsidDel="00000000" w:rsidR="00000000" w:rsidRPr="00000000">
        <w:rPr>
          <w:rtl w:val="0"/>
        </w:rPr>
        <w:t xml:space="preserve">C.</w:t>
      </w:r>
    </w:p>
    <w:p w:rsidR="00000000" w:rsidDel="00000000" w:rsidP="00000000" w:rsidRDefault="00000000" w:rsidRPr="00000000" w14:paraId="0000015D">
      <w:pPr>
        <w:spacing w:after="240" w:before="240" w:lineRule="auto"/>
        <w:rPr/>
      </w:pPr>
      <w:r w:rsidDel="00000000" w:rsidR="00000000" w:rsidRPr="00000000">
        <w:rPr>
          <w:rtl w:val="0"/>
        </w:rPr>
        <w:t xml:space="preserve">Having determined that the statute requires notice and an opportunity to respond, we next ask whether Ren was afforded that notice and opportunity. We hold that Ren was given notice of the parts of his testimony that required corroboration and the evidence the IJ found necessary to corroborate that testimony. He was also afforded a sufficient opportunity to obtain the evidence or explain his failure to do so.</w:t>
      </w:r>
    </w:p>
    <w:p w:rsidR="00000000" w:rsidDel="00000000" w:rsidP="00000000" w:rsidRDefault="00000000" w:rsidRPr="00000000" w14:paraId="0000015E">
      <w:pPr>
        <w:spacing w:after="240" w:before="240" w:lineRule="auto"/>
        <w:rPr/>
      </w:pPr>
      <w:r w:rsidDel="00000000" w:rsidR="00000000" w:rsidRPr="00000000">
        <w:rPr>
          <w:rtl w:val="0"/>
        </w:rPr>
        <w:t xml:space="preserve">. . .</w:t>
      </w:r>
    </w:p>
    <w:p w:rsidR="00000000" w:rsidDel="00000000" w:rsidP="00000000" w:rsidRDefault="00000000" w:rsidRPr="00000000" w14:paraId="0000015F">
      <w:pPr>
        <w:spacing w:after="240" w:before="240" w:lineRule="auto"/>
        <w:rPr/>
      </w:pPr>
      <w:r w:rsidDel="00000000" w:rsidR="00000000" w:rsidRPr="00000000">
        <w:rPr>
          <w:rtl w:val="0"/>
        </w:rPr>
        <w:t xml:space="preserve">D.</w:t>
      </w:r>
    </w:p>
    <w:p w:rsidR="00000000" w:rsidDel="00000000" w:rsidP="00000000" w:rsidRDefault="00000000" w:rsidRPr="00000000" w14:paraId="00000160">
      <w:pPr>
        <w:spacing w:after="240" w:before="240" w:lineRule="auto"/>
        <w:rPr/>
      </w:pPr>
      <w:r w:rsidDel="00000000" w:rsidR="00000000" w:rsidRPr="00000000">
        <w:rPr>
          <w:rtl w:val="0"/>
        </w:rPr>
        <w:t xml:space="preserve">Finally, we must decide whether the evidence that Ren did provide compelled the conclusion that he met his burden of proof. See Aden, 589 F.3d at 1040. Ren’s corroborative evidence consisted of two short and vague letters from officers of his church in the United States that did not mention China and did not answer the questions that the IJ had posed about Ren’s church involvement in the United States. We hold that those letters along with the rest of the evidence in the record do not compel the conclusion that Ren met his burden of proof.</w:t>
      </w:r>
    </w:p>
    <w:p w:rsidR="00000000" w:rsidDel="00000000" w:rsidP="00000000" w:rsidRDefault="00000000" w:rsidRPr="00000000" w14:paraId="00000161">
      <w:pPr>
        <w:spacing w:after="240" w:before="240" w:lineRule="auto"/>
        <w:rPr/>
      </w:pPr>
      <w:r w:rsidDel="00000000" w:rsidR="00000000" w:rsidRPr="00000000">
        <w:rPr>
          <w:rtl w:val="0"/>
        </w:rPr>
        <w:t xml:space="preserve">VII. Conclusion</w:t>
      </w:r>
    </w:p>
    <w:p w:rsidR="00000000" w:rsidDel="00000000" w:rsidP="00000000" w:rsidRDefault="00000000" w:rsidRPr="00000000" w14:paraId="00000162">
      <w:pPr>
        <w:spacing w:after="240" w:before="240" w:lineRule="auto"/>
        <w:rPr/>
      </w:pPr>
      <w:r w:rsidDel="00000000" w:rsidR="00000000" w:rsidRPr="00000000">
        <w:rPr>
          <w:rtl w:val="0"/>
        </w:rPr>
        <w:t xml:space="preserve">We hold that the IJ’s adverse credibility determination is not supported by substantial evidence, and therefore deem Ren’s testimony credible. We also hold, however, that Ren received adequate notice and an opportunity to respond to the IJ’s request for corroborative evidence, that he failed to provide such evidence or any explanation as to why it was unavailable, and that the IJ was not compelled to conclude that Ren met his burden of proof without the corroborating evidence that she requested. Therefore, the petition is DENIED.</w:t>
      </w:r>
    </w:p>
    <w:p w:rsidR="00000000" w:rsidDel="00000000" w:rsidP="00000000" w:rsidRDefault="00000000" w:rsidRPr="00000000" w14:paraId="00000163">
      <w:pPr>
        <w:spacing w:after="240" w:before="240" w:lineRule="auto"/>
        <w:rPr/>
      </w:pPr>
      <w:r w:rsidDel="00000000" w:rsidR="00000000" w:rsidRPr="00000000">
        <w:rPr>
          <w:rtl w:val="0"/>
        </w:rPr>
        <w:t xml:space="preserve">NOTES AND QUESTIONS</w:t>
      </w:r>
    </w:p>
    <w:p w:rsidR="00000000" w:rsidDel="00000000" w:rsidP="00000000" w:rsidRDefault="00000000" w:rsidRPr="00000000" w14:paraId="00000164">
      <w:pPr>
        <w:spacing w:after="240" w:before="240" w:lineRule="auto"/>
        <w:rPr/>
      </w:pPr>
      <w:r w:rsidDel="00000000" w:rsidR="00000000" w:rsidRPr="00000000">
        <w:rPr>
          <w:rtl w:val="0"/>
        </w:rPr>
        <w:t xml:space="preserve">1.  Are the Ninth Circuit’s views on the REAL ID Act credibility provisions persuasive?</w:t>
      </w:r>
    </w:p>
    <w:p w:rsidR="00000000" w:rsidDel="00000000" w:rsidP="00000000" w:rsidRDefault="00000000" w:rsidRPr="00000000" w14:paraId="00000165">
      <w:pPr>
        <w:spacing w:after="240" w:before="240" w:lineRule="auto"/>
        <w:rPr/>
      </w:pPr>
      <w:r w:rsidDel="00000000" w:rsidR="00000000" w:rsidRPr="00000000">
        <w:rPr>
          <w:rtl w:val="0"/>
        </w:rPr>
        <w:t xml:space="preserve">2.  The court reiterated the views of an earlier Ninth Circuit panel: Although the REAL ID Act expands the bases on which an IJ may rest an adverse credibility determination, it “does not give a blank check to the IJ enabling him or her to insulate an adverse credibility determination from our review of the reasonableness of that determination.” Shrestha, 590 F.3d at 1042.</w:t>
      </w:r>
    </w:p>
    <w:p w:rsidR="00000000" w:rsidDel="00000000" w:rsidP="00000000" w:rsidRDefault="00000000" w:rsidRPr="00000000" w14:paraId="00000166">
      <w:pPr>
        <w:spacing w:after="240" w:before="240" w:lineRule="auto"/>
        <w:rPr/>
      </w:pPr>
      <w:r w:rsidDel="00000000" w:rsidR="00000000" w:rsidRPr="00000000">
        <w:rPr>
          <w:rtl w:val="0"/>
        </w:rPr>
        <w:t xml:space="preserve">3.  What is the meaning of the court’s requirement that the immigration judge needs “specific and cogent reasons” in making an adverse credibility finding?</w:t>
      </w:r>
    </w:p>
    <w:p w:rsidR="00000000" w:rsidDel="00000000" w:rsidP="00000000" w:rsidRDefault="00000000" w:rsidRPr="00000000" w14:paraId="00000167">
      <w:pPr>
        <w:spacing w:after="240" w:before="240" w:lineRule="auto"/>
        <w:rPr/>
      </w:pPr>
      <w:r w:rsidDel="00000000" w:rsidR="00000000" w:rsidRPr="00000000">
        <w:rPr>
          <w:rtl w:val="0"/>
        </w:rPr>
        <w:t xml:space="preserve">4.  Do you agree that the immigration judge’s “adverse credibility determination was impermissibly based on mischaracterizations of Ren’s testimony as well as inconsistencies that . . . were trivial”? See also Scott Rempell, Credibility Assessments and the REAL ID Act’s Amendments to Immigration Law, 44 Tex. Int’l L.J. 185 (2008).</w:t>
      </w:r>
    </w:p>
    <w:p w:rsidR="00000000" w:rsidDel="00000000" w:rsidP="00000000" w:rsidRDefault="00000000" w:rsidRPr="00000000" w14:paraId="00000168">
      <w:pPr>
        <w:spacing w:after="240" w:before="240" w:lineRule="auto"/>
        <w:rPr/>
      </w:pPr>
      <w:r w:rsidDel="00000000" w:rsidR="00000000" w:rsidRPr="00000000">
        <w:rPr>
          <w:rtl w:val="0"/>
        </w:rPr>
        <w:t xml:space="preserve">5.  Compare Ren v. Holder with Ling Huang v. Holder, 744 F. 3d 1149 (9th Cir. 2014), which reaches a similar outcome. Do the immigration judges take different approaches in these two cases?</w:t>
      </w:r>
    </w:p>
    <w:p w:rsidR="00000000" w:rsidDel="00000000" w:rsidP="00000000" w:rsidRDefault="00000000" w:rsidRPr="00000000" w14:paraId="00000169">
      <w:pPr>
        <w:spacing w:after="240" w:before="240" w:lineRule="auto"/>
        <w:rPr/>
      </w:pPr>
      <w:r w:rsidDel="00000000" w:rsidR="00000000" w:rsidRPr="00000000">
        <w:rPr>
          <w:rtl w:val="0"/>
        </w:rPr>
        <w:t xml:space="preserve">6.  An impetus behind the REAL ID Act credibility provision was a concern over alleged false claims to asylum versus the real difficulties faced by applicants suffering from PTSD. For example, in one NPR story, Robert Siegel interviews writer Suketu Mehta about his article in The New Yorker magazine, called “The Asylum Seeker.” Mehta follows Caroline, an African immigrant who applies for asylum in the United States. She admits embellishing her story, saying she had been raped in her home country to make her request for asylum more compelling. See Asylum Seeker Stretches the Truth for a Better Life, http://www.npr.org/2011/07/25/138683238/an-asylum-seeker-stretches-the-truth-for-a-better-life; see also Paresh Dave, FBI Says Moroccan on Expired Visa Plotted Drone Bombings, L.A. Times (Apr. 11, 2014).</w:t>
      </w:r>
    </w:p>
    <w:p w:rsidR="00000000" w:rsidDel="00000000" w:rsidP="00000000" w:rsidRDefault="00000000" w:rsidRPr="00000000" w14:paraId="0000016A">
      <w:pPr>
        <w:spacing w:after="240" w:before="240" w:lineRule="auto"/>
        <w:rPr/>
      </w:pPr>
      <w:r w:rsidDel="00000000" w:rsidR="00000000" w:rsidRPr="00000000">
        <w:rPr>
          <w:rtl w:val="0"/>
        </w:rPr>
        <w:t xml:space="preserve">   </w:t>
        <w:tab/>
        <w:t xml:space="preserve">Chief Judge Frank H. Easterbrook of the Seventh Circuit expressed related concerns:</w:t>
      </w:r>
    </w:p>
    <w:p w:rsidR="00000000" w:rsidDel="00000000" w:rsidP="00000000" w:rsidRDefault="00000000" w:rsidRPr="00000000" w14:paraId="0000016B">
      <w:pPr>
        <w:spacing w:after="240" w:before="240" w:lineRule="auto"/>
        <w:rPr/>
      </w:pPr>
      <w:r w:rsidDel="00000000" w:rsidR="00000000" w:rsidRPr="00000000">
        <w:rPr>
          <w:rtl w:val="0"/>
        </w:rPr>
        <w:t xml:space="preserve">Asylum cases pose thorny challenges in evaluating testimony. Applicants regularly tell horrific stories that, if true, show past persecution and a risk of worse to come. . . . Most claims of persecution can be neither confirmed nor refuted by documentary evidence. Even when it is certain that a particular incident occurred, there may be doubt about whether a given alien was among the victims. Then the alien’s oral narration must stand or fall on its own terms. Yet many aliens, who want to remain in the United States for economic or social reasons unrelated to persecution, try to deceive immigration officials. Often they are coached by friends or organizations that disapprove of this nation’s restrictions on immigration and do what they can to help others remain here. Occasionally the coaches (like smugglers who provide transportation and bogus credentials) do this for pay rather than out of friendship or commitment. How is an immigration judge to sift honest, persecuted aliens from those who are feigning?</w:t>
      </w:r>
    </w:p>
    <w:p w:rsidR="00000000" w:rsidDel="00000000" w:rsidP="00000000" w:rsidRDefault="00000000" w:rsidRPr="00000000" w14:paraId="0000016C">
      <w:pPr>
        <w:spacing w:after="240" w:before="240" w:lineRule="auto"/>
        <w:ind w:left="600" w:firstLine="0"/>
        <w:rPr/>
      </w:pPr>
      <w:r w:rsidDel="00000000" w:rsidR="00000000" w:rsidRPr="00000000">
        <w:rPr>
          <w:rtl w:val="0"/>
        </w:rPr>
        <w:t xml:space="preserve">Mitondo v. Mukasey, 523 F.3d 784, 788 (7th Cir. 2008). Similarly, in October 2017, Attorney General Jeff Sessions urged Congress to tighten up on asylum saying the system is filled with “rampant abuse and fraud.” Sessions said the nation’s policies allow too many asylum seekers to exploit loopholes in a “broken” and extremely backlogged process. “The system is being gamed,” Sessions said. “Over the years, smart attorneys have exploited loopholes in the law, court rulings and lack of resources to substantially undermine the intent of Congress. . . . There is no cost or risk for those who make a baseless asylum claim.” See Sari Horwitz, Sessions calls on Congress to tighten rules for asylum seekers, Wash. Post (Oct. 12, 2017).</w:t>
      </w:r>
    </w:p>
    <w:p w:rsidR="00000000" w:rsidDel="00000000" w:rsidP="00000000" w:rsidRDefault="00000000" w:rsidRPr="00000000" w14:paraId="0000016D">
      <w:pPr>
        <w:spacing w:after="240" w:before="240" w:lineRule="auto"/>
        <w:rPr/>
      </w:pPr>
      <w:r w:rsidDel="00000000" w:rsidR="00000000" w:rsidRPr="00000000">
        <w:rPr>
          <w:rtl w:val="0"/>
        </w:rPr>
        <w:t xml:space="preserve">   </w:t>
        <w:tab/>
        <w:t xml:space="preserve">Why the attack on asylum? Is the availability of asylum really being exploited?</w:t>
      </w:r>
    </w:p>
    <w:p w:rsidR="00000000" w:rsidDel="00000000" w:rsidP="00000000" w:rsidRDefault="00000000" w:rsidRPr="00000000" w14:paraId="0000016E">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ptos"/>
  <w:font w:name="Play">
    <w:embedRegular w:fontKey="{00000000-0000-0000-0000-000000000000}" r:id="rId1" w:subsetted="0"/>
    <w:embedBold w:fontKey="{00000000-0000-0000-0000-000000000000}" r:id="rId2" w:subsetted="0"/>
  </w:font>
  <w:font w:name="Palatino">
    <w:altName w:val="Book Antiqua"/>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Daniel Denvir,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Deporting people made Central America’s gangs. More deportation won’t help</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Wash. Post (July 20, 2017); Ana Arana, </w:t>
      </w:r>
      <w:r w:rsidDel="00000000" w:rsidR="00000000" w:rsidRPr="00000000">
        <w:rPr>
          <w:rFonts w:ascii="Aptos" w:cs="Aptos" w:eastAsia="Aptos" w:hAnsi="Aptos"/>
          <w:b w:val="0"/>
          <w:bCs w:val="0"/>
          <w:i w:val="1"/>
          <w:iCs w:val="1"/>
          <w:smallCaps w:val="0"/>
          <w:strike w:val="0"/>
          <w:color w:val="000000"/>
          <w:sz w:val="20"/>
          <w:szCs w:val="20"/>
          <w:u w:val="none"/>
          <w:shd w:fill="auto" w:val="clear"/>
          <w:vertAlign w:val="baseline"/>
          <w:rtl w:val="0"/>
        </w:rPr>
        <w:t xml:space="preserve">How the Street Gangs Took Central America</w:t>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Foreign Affairs (May/June 2005).</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0370F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0370F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0370F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0370FB"/>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0370FB"/>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0370FB"/>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0370FB"/>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0370FB"/>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0370F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0370F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0370F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0370F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0370F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0370F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0370F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0370FB"/>
    <w:rPr>
      <w:i w:val="1"/>
      <w:iCs w:val="1"/>
      <w:color w:val="404040" w:themeColor="text1" w:themeTint="0000BF"/>
    </w:rPr>
  </w:style>
  <w:style w:type="paragraph" w:styleId="ListParagraph">
    <w:name w:val="List Paragraph"/>
    <w:basedOn w:val="Normal"/>
    <w:uiPriority w:val="34"/>
    <w:qFormat w:val="1"/>
    <w:rsid w:val="000370FB"/>
    <w:pPr>
      <w:ind w:left="720"/>
      <w:contextualSpacing w:val="1"/>
    </w:pPr>
  </w:style>
  <w:style w:type="character" w:styleId="IntenseEmphasis">
    <w:name w:val="Intense Emphasis"/>
    <w:basedOn w:val="DefaultParagraphFont"/>
    <w:uiPriority w:val="21"/>
    <w:qFormat w:val="1"/>
    <w:rsid w:val="000370FB"/>
    <w:rPr>
      <w:i w:val="1"/>
      <w:iCs w:val="1"/>
      <w:color w:val="0f4761" w:themeColor="accent1" w:themeShade="0000BF"/>
    </w:rPr>
  </w:style>
  <w:style w:type="paragraph" w:styleId="IntenseQuote">
    <w:name w:val="Intense Quote"/>
    <w:basedOn w:val="Normal"/>
    <w:next w:val="Normal"/>
    <w:link w:val="IntenseQuoteChar"/>
    <w:uiPriority w:val="30"/>
    <w:qFormat w:val="1"/>
    <w:rsid w:val="000370FB"/>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0370FB"/>
    <w:rPr>
      <w:i w:val="1"/>
      <w:iCs w:val="1"/>
      <w:color w:val="0f4761" w:themeColor="accent1" w:themeShade="0000BF"/>
    </w:rPr>
  </w:style>
  <w:style w:type="character" w:styleId="IntenseReference">
    <w:name w:val="Intense Reference"/>
    <w:basedOn w:val="DefaultParagraphFont"/>
    <w:uiPriority w:val="32"/>
    <w:qFormat w:val="1"/>
    <w:rsid w:val="000370FB"/>
    <w:rPr>
      <w:b w:val="1"/>
      <w:bCs w:val="1"/>
      <w:smallCaps w:val="1"/>
      <w:color w:val="0f4761" w:themeColor="accent1" w:themeShade="0000BF"/>
      <w:spacing w:val="5"/>
    </w:rPr>
  </w:style>
  <w:style w:type="paragraph" w:styleId="NEPQNL1mid" w:customStyle="1">
    <w:name w:val="NEPQ_NL1_mid"/>
    <w:basedOn w:val="Normal"/>
    <w:uiPriority w:val="99"/>
    <w:rsid w:val="00F25D8B"/>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NEPQEXT2" w:customStyle="1">
    <w:name w:val="NEPQ_EXT2"/>
    <w:basedOn w:val="Normal"/>
    <w:uiPriority w:val="99"/>
    <w:rsid w:val="00F25D8B"/>
    <w:pPr>
      <w:widowControl w:val="0"/>
      <w:tabs>
        <w:tab w:val="left" w:pos="900"/>
      </w:tabs>
      <w:suppressAutoHyphens w:val="1"/>
      <w:autoSpaceDE w:val="0"/>
      <w:autoSpaceDN w:val="0"/>
      <w:adjustRightInd w:val="0"/>
      <w:spacing w:after="120" w:before="120" w:line="220" w:lineRule="atLeast"/>
      <w:ind w:left="600" w:right="300"/>
      <w:jc w:val="both"/>
      <w:textAlignment w:val="center"/>
    </w:pPr>
    <w:rPr>
      <w:rFonts w:ascii="PalatinoLTStd-Roman" w:cs="PalatinoLTStd-Roman" w:hAnsi="PalatinoLTStd-Roman" w:eastAsiaTheme="minorEastAsia"/>
      <w:color w:val="000000"/>
      <w:kern w:val="0"/>
      <w:sz w:val="19"/>
      <w:szCs w:val="19"/>
      <w:lang w:eastAsia="en-IN"/>
    </w:rPr>
  </w:style>
  <w:style w:type="character" w:styleId="x" w:customStyle="1">
    <w:name w:val="x"/>
    <w:uiPriority w:val="99"/>
    <w:rsid w:val="00F25D8B"/>
    <w:rPr>
      <w:color w:val="000000"/>
      <w:w w:val="100"/>
    </w:rPr>
  </w:style>
  <w:style w:type="character" w:styleId="ITALIC" w:customStyle="1">
    <w:name w:val="ITALIC"/>
    <w:uiPriority w:val="99"/>
    <w:rsid w:val="00F25D8B"/>
    <w:rPr>
      <w:i w:val="1"/>
      <w:color w:val="000000"/>
      <w:w w:val="100"/>
      <w:lang w:eastAsia="x-none" w:val="en-US"/>
    </w:rPr>
  </w:style>
  <w:style w:type="paragraph" w:styleId="TXT" w:customStyle="1">
    <w:name w:val="TXT"/>
    <w:basedOn w:val="Normal"/>
    <w:uiPriority w:val="99"/>
    <w:rsid w:val="000E71A7"/>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NL1first" w:customStyle="1">
    <w:name w:val="NL1_first"/>
    <w:basedOn w:val="Normal"/>
    <w:uiPriority w:val="99"/>
    <w:rsid w:val="000E71A7"/>
    <w:pPr>
      <w:widowControl w:val="0"/>
      <w:tabs>
        <w:tab w:val="right" w:pos="480"/>
      </w:tabs>
      <w:suppressAutoHyphens w:val="1"/>
      <w:autoSpaceDE w:val="0"/>
      <w:autoSpaceDN w:val="0"/>
      <w:adjustRightInd w:val="0"/>
      <w:spacing w:after="0" w:before="12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LL2" w:customStyle="1">
    <w:name w:val="LL2"/>
    <w:basedOn w:val="Normal"/>
    <w:uiPriority w:val="99"/>
    <w:rsid w:val="000E71A7"/>
    <w:pPr>
      <w:widowControl w:val="0"/>
      <w:tabs>
        <w:tab w:val="right" w:pos="780"/>
      </w:tabs>
      <w:suppressAutoHyphens w:val="1"/>
      <w:autoSpaceDE w:val="0"/>
      <w:autoSpaceDN w:val="0"/>
      <w:adjustRightInd w:val="0"/>
      <w:spacing w:after="0" w:line="260" w:lineRule="atLeast"/>
      <w:ind w:left="900" w:hanging="300"/>
      <w:jc w:val="both"/>
      <w:textAlignment w:val="center"/>
    </w:pPr>
    <w:rPr>
      <w:rFonts w:ascii="PalatinoLTStd-Roman" w:cs="PalatinoLTStd-Roman" w:hAnsi="PalatinoLTStd-Roman" w:eastAsiaTheme="minorEastAsia"/>
      <w:color w:val="000000"/>
      <w:kern w:val="0"/>
      <w:sz w:val="21"/>
      <w:szCs w:val="21"/>
      <w:lang w:eastAsia="en-IN"/>
    </w:rPr>
  </w:style>
  <w:style w:type="paragraph" w:styleId="NL1mid" w:customStyle="1">
    <w:name w:val="NL1_mid"/>
    <w:basedOn w:val="Normal"/>
    <w:uiPriority w:val="99"/>
    <w:rsid w:val="000E71A7"/>
    <w:pPr>
      <w:widowControl w:val="0"/>
      <w:tabs>
        <w:tab w:val="right" w:pos="480"/>
      </w:tabs>
      <w:suppressAutoHyphens w:val="1"/>
      <w:autoSpaceDE w:val="0"/>
      <w:autoSpaceDN w:val="0"/>
      <w:adjustRightInd w:val="0"/>
      <w:spacing w:after="0" w:line="260" w:lineRule="atLeast"/>
      <w:ind w:left="600" w:hanging="300"/>
      <w:jc w:val="both"/>
      <w:textAlignment w:val="center"/>
    </w:pPr>
    <w:rPr>
      <w:rFonts w:ascii="PalatinoLTStd-Roman" w:cs="PalatinoLTStd-Roman" w:hAnsi="PalatinoLTStd-Roman" w:eastAsiaTheme="minorEastAsia"/>
      <w:color w:val="000000"/>
      <w:kern w:val="0"/>
      <w:sz w:val="21"/>
      <w:szCs w:val="21"/>
      <w:lang w:eastAsia="en-IN"/>
    </w:rPr>
  </w:style>
  <w:style w:type="character" w:styleId="BOLD" w:customStyle="1">
    <w:name w:val="BOLD"/>
    <w:uiPriority w:val="99"/>
    <w:rsid w:val="000E71A7"/>
    <w:rPr>
      <w:rFonts w:ascii="PalatinoLTStd-Bold" w:hAnsi="PalatinoLTStd-Bold"/>
      <w:b w:val="1"/>
      <w:color w:val="000000"/>
      <w:w w:val="100"/>
      <w:lang w:eastAsia="x-none" w:val="en-US"/>
    </w:rPr>
  </w:style>
  <w:style w:type="character" w:styleId="NL1" w:customStyle="1">
    <w:name w:val="NL1"/>
    <w:uiPriority w:val="99"/>
    <w:rsid w:val="000E71A7"/>
    <w:rPr>
      <w:rFonts w:ascii="PalatinoLTStd-Roman" w:hAnsi="PalatinoLTStd-Roman"/>
      <w:color w:val="000000"/>
      <w:w w:val="100"/>
      <w:lang w:eastAsia="x-none" w:val="en-US"/>
    </w:rPr>
  </w:style>
  <w:style w:type="character" w:styleId="LL1" w:customStyle="1">
    <w:name w:val="LL1"/>
    <w:uiPriority w:val="99"/>
    <w:rsid w:val="000E71A7"/>
    <w:rPr>
      <w:rFonts w:ascii="PalatinoLTStd-Roman" w:hAnsi="PalatinoLTStd-Roman"/>
      <w:color w:val="000000"/>
      <w:w w:val="100"/>
      <w:lang w:eastAsia="x-none" w:val="en-US"/>
    </w:rPr>
  </w:style>
  <w:style w:type="paragraph" w:styleId="CASEH1" w:customStyle="1">
    <w:name w:val="CASE_H1"/>
    <w:basedOn w:val="Normal"/>
    <w:uiPriority w:val="99"/>
    <w:rsid w:val="006B234D"/>
    <w:pPr>
      <w:widowControl w:val="0"/>
      <w:pBdr>
        <w:top w:color="a73439" w:space="28" w:sz="4" w:val="single"/>
      </w:pBdr>
      <w:tabs>
        <w:tab w:val="left" w:pos="300"/>
      </w:tabs>
      <w:suppressAutoHyphens w:val="1"/>
      <w:autoSpaceDE w:val="0"/>
      <w:autoSpaceDN w:val="0"/>
      <w:adjustRightInd w:val="0"/>
      <w:spacing w:after="0" w:before="480" w:line="280" w:lineRule="atLeast"/>
      <w:jc w:val="center"/>
      <w:textAlignment w:val="center"/>
    </w:pPr>
    <w:rPr>
      <w:rFonts w:ascii="PalatinoLTStd-MediumItalic" w:cs="PalatinoLTStd-MediumItalic" w:hAnsi="PalatinoLTStd-MediumItalic" w:eastAsiaTheme="minorEastAsia"/>
      <w:i w:val="1"/>
      <w:iCs w:val="1"/>
      <w:color w:val="a73439"/>
      <w:kern w:val="0"/>
      <w:sz w:val="25"/>
      <w:szCs w:val="25"/>
      <w:lang w:eastAsia="en-IN"/>
    </w:rPr>
  </w:style>
  <w:style w:type="paragraph" w:styleId="CASEH2" w:customStyle="1">
    <w:name w:val="CASE_H2"/>
    <w:basedOn w:val="Normal"/>
    <w:uiPriority w:val="99"/>
    <w:rsid w:val="006B234D"/>
    <w:pPr>
      <w:widowControl w:val="0"/>
      <w:tabs>
        <w:tab w:val="left" w:pos="300"/>
      </w:tabs>
      <w:suppressAutoHyphens w:val="1"/>
      <w:autoSpaceDE w:val="0"/>
      <w:autoSpaceDN w:val="0"/>
      <w:adjustRightInd w:val="0"/>
      <w:spacing w:after="180" w:line="220" w:lineRule="atLeast"/>
      <w:jc w:val="center"/>
      <w:textAlignment w:val="center"/>
    </w:pPr>
    <w:rPr>
      <w:rFonts w:ascii="MyriadPro-Regular" w:cs="MyriadPro-Regular" w:hAnsi="MyriadPro-Regular" w:eastAsiaTheme="minorEastAsia"/>
      <w:color w:val="a73439"/>
      <w:kern w:val="0"/>
      <w:sz w:val="19"/>
      <w:szCs w:val="19"/>
      <w:lang w:eastAsia="en-IN"/>
    </w:rPr>
  </w:style>
  <w:style w:type="paragraph" w:styleId="CASETXNI" w:customStyle="1">
    <w:name w:val="CASE_TXNI"/>
    <w:basedOn w:val="Normal"/>
    <w:uiPriority w:val="99"/>
    <w:rsid w:val="006B234D"/>
    <w:pPr>
      <w:widowControl w:val="0"/>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paragraph" w:styleId="CASETXT" w:customStyle="1">
    <w:name w:val="CASE_TXT"/>
    <w:basedOn w:val="Normal"/>
    <w:uiPriority w:val="99"/>
    <w:rsid w:val="006B234D"/>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TXNIruleverso" w:customStyle="1">
    <w:name w:val="CASE_TXNI_rule_verso"/>
    <w:basedOn w:val="Normal"/>
    <w:uiPriority w:val="99"/>
    <w:rsid w:val="006B234D"/>
    <w:pPr>
      <w:widowControl w:val="0"/>
      <w:pBdr>
        <w:bottom w:color="auto" w:space="0" w:sz="8" w:val="single"/>
      </w:pBdr>
      <w:tabs>
        <w:tab w:val="left" w:pos="300"/>
      </w:tabs>
      <w:suppressAutoHyphens w:val="1"/>
      <w:autoSpaceDE w:val="0"/>
      <w:autoSpaceDN w:val="0"/>
      <w:adjustRightInd w:val="0"/>
      <w:spacing w:after="0" w:line="260" w:lineRule="atLeast"/>
      <w:jc w:val="both"/>
      <w:textAlignment w:val="center"/>
    </w:pPr>
    <w:rPr>
      <w:rFonts w:ascii="PalatinoLTStd-Roman" w:cs="PalatinoLTStd-Roman" w:hAnsi="PalatinoLTStd-Roman" w:eastAsiaTheme="minorEastAsia"/>
      <w:color w:val="000000"/>
      <w:kern w:val="0"/>
      <w:sz w:val="21"/>
      <w:szCs w:val="21"/>
      <w:lang w:eastAsia="en-IN"/>
    </w:rPr>
  </w:style>
  <w:style w:type="character" w:styleId="SC" w:customStyle="1">
    <w:name w:val="SC"/>
    <w:uiPriority w:val="99"/>
    <w:rsid w:val="006B234D"/>
    <w:rPr>
      <w:smallCaps w:val="1"/>
      <w:color w:val="000000"/>
      <w:w w:val="100"/>
      <w:lang w:eastAsia="x-none" w:val="en-US"/>
    </w:rPr>
  </w:style>
  <w:style w:type="paragraph" w:styleId="FootnoteText">
    <w:name w:val="footnote text"/>
    <w:basedOn w:val="Normal"/>
    <w:link w:val="FootnoteTextChar"/>
    <w:uiPriority w:val="99"/>
    <w:semiHidden w:val="1"/>
    <w:unhideWhenUsed w:val="1"/>
    <w:rsid w:val="006B234D"/>
    <w:pPr>
      <w:spacing w:line="259" w:lineRule="auto"/>
    </w:pPr>
    <w:rPr>
      <w:rFonts w:cs="Times New Roman" w:eastAsiaTheme="minorEastAsia"/>
      <w:kern w:val="0"/>
      <w:sz w:val="20"/>
      <w:szCs w:val="20"/>
      <w:lang w:eastAsia="en-IN" w:val="en-IN"/>
    </w:rPr>
  </w:style>
  <w:style w:type="character" w:styleId="FootnoteTextChar" w:customStyle="1">
    <w:name w:val="Footnote Text Char"/>
    <w:basedOn w:val="DefaultParagraphFont"/>
    <w:link w:val="FootnoteText"/>
    <w:uiPriority w:val="99"/>
    <w:semiHidden w:val="1"/>
    <w:rsid w:val="006B234D"/>
    <w:rPr>
      <w:rFonts w:cs="Times New Roman" w:eastAsiaTheme="minorEastAsia"/>
      <w:kern w:val="0"/>
      <w:sz w:val="20"/>
      <w:szCs w:val="20"/>
      <w:lang w:eastAsia="en-IN" w:val="en-IN"/>
    </w:rPr>
  </w:style>
  <w:style w:type="character" w:styleId="FootnoteReference">
    <w:name w:val="footnote reference"/>
    <w:basedOn w:val="DefaultParagraphFont"/>
    <w:uiPriority w:val="99"/>
    <w:semiHidden w:val="1"/>
    <w:unhideWhenUsed w:val="1"/>
    <w:rsid w:val="006B234D"/>
    <w:rPr>
      <w:rFonts w:cs="Times New Roman"/>
      <w:vertAlign w:val="superscript"/>
    </w:rPr>
  </w:style>
  <w:style w:type="paragraph" w:styleId="CASEH4" w:customStyle="1">
    <w:name w:val="CASE_H4"/>
    <w:basedOn w:val="Normal"/>
    <w:uiPriority w:val="99"/>
    <w:rsid w:val="00FC2115"/>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Bold" w:cs="PalatinoLTStd-Bold" w:hAnsi="PalatinoLTStd-Bold" w:eastAsiaTheme="minorEastAsia"/>
      <w:b w:val="1"/>
      <w:bCs w:val="1"/>
      <w:color w:val="000000"/>
      <w:kern w:val="0"/>
      <w:sz w:val="22"/>
      <w:szCs w:val="22"/>
      <w:lang w:eastAsia="en-IN"/>
    </w:rPr>
  </w:style>
  <w:style w:type="paragraph" w:styleId="CASEH5" w:customStyle="1">
    <w:name w:val="CASE_H5"/>
    <w:basedOn w:val="Normal"/>
    <w:uiPriority w:val="99"/>
    <w:rsid w:val="00FC2115"/>
    <w:pPr>
      <w:widowControl w:val="0"/>
      <w:tabs>
        <w:tab w:val="left" w:pos="300"/>
      </w:tabs>
      <w:suppressAutoHyphens w:val="1"/>
      <w:autoSpaceDE w:val="0"/>
      <w:autoSpaceDN w:val="0"/>
      <w:adjustRightInd w:val="0"/>
      <w:spacing w:after="120" w:before="180" w:line="260" w:lineRule="atLeast"/>
      <w:jc w:val="center"/>
      <w:textAlignment w:val="center"/>
    </w:pPr>
    <w:rPr>
      <w:rFonts w:ascii="PalatinoLTStd-Medium" w:cs="PalatinoLTStd-Medium" w:hAnsi="PalatinoLTStd-Medium" w:eastAsiaTheme="minorEastAsia"/>
      <w:color w:val="000000"/>
      <w:kern w:val="0"/>
      <w:sz w:val="22"/>
      <w:szCs w:val="22"/>
      <w:lang w:eastAsia="en-IN"/>
    </w:rPr>
  </w:style>
  <w:style w:type="paragraph" w:styleId="NEPQH1" w:customStyle="1">
    <w:name w:val="NEPQ_H1"/>
    <w:basedOn w:val="Normal"/>
    <w:uiPriority w:val="99"/>
    <w:rsid w:val="00FC2115"/>
    <w:pPr>
      <w:keepNext w:val="1"/>
      <w:keepLines w:val="1"/>
      <w:widowControl w:val="0"/>
      <w:tabs>
        <w:tab w:val="left" w:pos="300"/>
      </w:tabs>
      <w:suppressAutoHyphens w:val="1"/>
      <w:autoSpaceDE w:val="0"/>
      <w:autoSpaceDN w:val="0"/>
      <w:adjustRightInd w:val="0"/>
      <w:spacing w:after="120" w:before="480" w:line="260" w:lineRule="atLeast"/>
      <w:jc w:val="center"/>
      <w:textAlignment w:val="center"/>
    </w:pPr>
    <w:rPr>
      <w:rFonts w:ascii="PalatinoLTStd-Bold" w:cs="PalatinoLTStd-Bold" w:hAnsi="PalatinoLTStd-Bold" w:eastAsiaTheme="minorEastAsia"/>
      <w:b w:val="1"/>
      <w:bCs w:val="1"/>
      <w:caps w:val="1"/>
      <w:color w:val="a73439"/>
      <w:kern w:val="0"/>
      <w:lang w:eastAsia="en-IN"/>
    </w:rPr>
  </w:style>
  <w:style w:type="paragraph" w:styleId="CASEEXT" w:customStyle="1">
    <w:name w:val="CASE_EXT"/>
    <w:basedOn w:val="Normal"/>
    <w:uiPriority w:val="99"/>
    <w:rsid w:val="00FC2115"/>
    <w:pPr>
      <w:widowControl w:val="0"/>
      <w:tabs>
        <w:tab w:val="left" w:pos="600"/>
      </w:tabs>
      <w:suppressAutoHyphens w:val="1"/>
      <w:autoSpaceDE w:val="0"/>
      <w:autoSpaceDN w:val="0"/>
      <w:adjustRightInd w:val="0"/>
      <w:spacing w:after="120" w:before="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paragraph" w:styleId="CASETXNIrulerecto" w:customStyle="1">
    <w:name w:val="CASE_TXNI_rule_recto"/>
    <w:basedOn w:val="Normal"/>
    <w:uiPriority w:val="99"/>
    <w:rsid w:val="00FC2115"/>
    <w:pPr>
      <w:widowControl w:val="0"/>
      <w:pBdr>
        <w:bottom w:color="auto" w:space="0" w:sz="8" w:val="single"/>
      </w:pBdr>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paragraph" w:styleId="CASEEXTlast" w:customStyle="1">
    <w:name w:val="CASE_EXT_last"/>
    <w:basedOn w:val="Normal"/>
    <w:uiPriority w:val="99"/>
    <w:rsid w:val="00FC2115"/>
    <w:pPr>
      <w:widowControl w:val="0"/>
      <w:tabs>
        <w:tab w:val="left" w:pos="600"/>
      </w:tabs>
      <w:suppressAutoHyphens w:val="1"/>
      <w:autoSpaceDE w:val="0"/>
      <w:autoSpaceDN w:val="0"/>
      <w:adjustRightInd w:val="0"/>
      <w:spacing w:after="120" w:line="220" w:lineRule="atLeast"/>
      <w:ind w:left="300" w:right="300"/>
      <w:jc w:val="both"/>
      <w:textAlignment w:val="center"/>
    </w:pPr>
    <w:rPr>
      <w:rFonts w:ascii="PalatinoLTStd-Roman" w:cs="PalatinoLTStd-Roman" w:hAnsi="PalatinoLTStd-Roman" w:eastAsiaTheme="minorEastAsia"/>
      <w:color w:val="000000"/>
      <w:kern w:val="0"/>
      <w:sz w:val="19"/>
      <w:szCs w:val="19"/>
      <w:lang w:eastAsia="en-IN"/>
    </w:rPr>
  </w:style>
  <w:style w:type="character" w:styleId="CASEH51" w:customStyle="1">
    <w:name w:val="CASE_H51"/>
    <w:uiPriority w:val="99"/>
    <w:rsid w:val="00FC2115"/>
    <w:rPr>
      <w:rFonts w:ascii="PalatinoLTStd-Medium" w:hAnsi="PalatinoLTStd-Medium"/>
      <w:color w:val="000000"/>
      <w:w w:val="100"/>
      <w:lang w:eastAsia="x-none" w:val="en-US"/>
    </w:rPr>
  </w:style>
  <w:style w:type="character" w:styleId="NEPQNL1" w:customStyle="1">
    <w:name w:val="NEPQ_NL1"/>
    <w:uiPriority w:val="99"/>
    <w:rsid w:val="00FC2115"/>
    <w:rPr>
      <w:rFonts w:ascii="PalatinoLTStd-Roman" w:hAnsi="PalatinoLTStd-Roman"/>
      <w:color w:val="000000"/>
      <w:w w:val="100"/>
      <w:lang w:eastAsia="x-none" w:val="en-US"/>
    </w:rPr>
  </w:style>
  <w:style w:type="character" w:styleId="CASEH41" w:customStyle="1">
    <w:name w:val="CASE_H41"/>
    <w:uiPriority w:val="99"/>
    <w:rsid w:val="00FC2115"/>
    <w:rPr>
      <w:rFonts w:ascii="PalatinoLTStd-Bold" w:hAnsi="PalatinoLTStd-Bold"/>
      <w:b w:val="1"/>
      <w:color w:val="000000"/>
      <w:w w:val="100"/>
      <w:lang w:eastAsia="x-none" w:val="en-US"/>
    </w:rPr>
  </w:style>
  <w:style w:type="paragraph" w:styleId="NEPQNL1paramid" w:customStyle="1">
    <w:name w:val="NEPQ_NL1_para_mid"/>
    <w:basedOn w:val="Normal"/>
    <w:uiPriority w:val="99"/>
    <w:rsid w:val="000F25C6"/>
    <w:pPr>
      <w:widowControl w:val="0"/>
      <w:tabs>
        <w:tab w:val="left" w:pos="300"/>
      </w:tabs>
      <w:suppressAutoHyphens w:val="1"/>
      <w:autoSpaceDE w:val="0"/>
      <w:autoSpaceDN w:val="0"/>
      <w:adjustRightInd w:val="0"/>
      <w:spacing w:after="0" w:line="260" w:lineRule="atLeast"/>
      <w:ind w:firstLine="300"/>
      <w:jc w:val="both"/>
      <w:textAlignment w:val="center"/>
    </w:pPr>
    <w:rPr>
      <w:rFonts w:ascii="PalatinoLTStd-Roman" w:cs="PalatinoLTStd-Roman" w:hAnsi="PalatinoLTStd-Roman" w:eastAsiaTheme="minorEastAsia"/>
      <w:color w:val="000000"/>
      <w:kern w:val="0"/>
      <w:sz w:val="21"/>
      <w:szCs w:val="21"/>
      <w:lang w:eastAsia="en-IN"/>
    </w:rPr>
  </w:style>
  <w:style w:type="character" w:styleId="SUP" w:customStyle="1">
    <w:name w:val="SUP"/>
    <w:uiPriority w:val="99"/>
    <w:rsid w:val="000F25C6"/>
    <w:rPr>
      <w:color w:val="000000"/>
      <w:w w:val="100"/>
      <w:vertAlign w:val="superscript"/>
      <w:lang w:eastAsia="x-none" w:val="en-US"/>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customXml" Target="../customXML/item4.xml"/><Relationship Id="rId4" Type="http://schemas.openxmlformats.org/officeDocument/2006/relationships/footnotes" Target="footnotes.xml"/><Relationship Id="rId9"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xl1RG7kx3lvn+001vnBqLgml5w==">CgMxLjA4AHIhMTJyWHpoTWZwSF9VTkJ5MXEzbEdxRUN0TjFrczJydjFO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6FAE18D1336714AB9B410BDAC6FD748" ma:contentTypeVersion="12" ma:contentTypeDescription="Create a new document." ma:contentTypeScope="" ma:versionID="c83b5dfa15f4599c18a1a65fce38cb9b">
  <xsd:schema xmlns:xsd="http://www.w3.org/2001/XMLSchema" xmlns:xs="http://www.w3.org/2001/XMLSchema" xmlns:p="http://schemas.microsoft.com/office/2006/metadata/properties" xmlns:ns2="5041eee3-99e3-4b4c-bd80-eccf1ef4b2d3" xmlns:ns3="681b8b6f-1b57-476a-8dd6-80d1d09c59e1" targetNamespace="http://schemas.microsoft.com/office/2006/metadata/properties" ma:root="true" ma:fieldsID="fe9756aa161f4e54be82007aa4ed6a8f" ns2:_="" ns3:_="">
    <xsd:import namespace="5041eee3-99e3-4b4c-bd80-eccf1ef4b2d3"/>
    <xsd:import namespace="681b8b6f-1b57-476a-8dd6-80d1d09c59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1eee3-99e3-4b4c-bd80-eccf1ef4b2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0db18-5969-473e-a474-9ff3e4bd949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81b8b6f-1b57-476a-8dd6-80d1d09c59e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87748d5-3982-4bcf-9b58-1b02aee89c46}" ma:internalName="TaxCatchAll" ma:showField="CatchAllData" ma:web="681b8b6f-1b57-476a-8dd6-80d1d09c59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41eee3-99e3-4b4c-bd80-eccf1ef4b2d3">
      <Terms xmlns="http://schemas.microsoft.com/office/infopath/2007/PartnerControls"/>
    </lcf76f155ced4ddcb4097134ff3c332f>
    <TaxCatchAll xmlns="681b8b6f-1b57-476a-8dd6-80d1d09c59e1"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86864A6-60B3-4031-A77A-887A28EAAD22}"/>
</file>

<file path=customXML/itemProps3.xml><?xml version="1.0" encoding="utf-8"?>
<ds:datastoreItem xmlns:ds="http://schemas.openxmlformats.org/officeDocument/2006/customXml" ds:itemID="{088515FE-D72A-40EB-9937-846EB81350A6}"/>
</file>

<file path=customXML/itemProps4.xml><?xml version="1.0" encoding="utf-8"?>
<ds:datastoreItem xmlns:ds="http://schemas.openxmlformats.org/officeDocument/2006/customXml" ds:itemID="{7176D86C-990F-4B33-B3CE-CE4B4B3AEB2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Billie SFO</dc:creator>
  <dcterms:created xsi:type="dcterms:W3CDTF">2025-07-23T18:39:00Z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0x010100D6FAE18D1336714AB9B410BDAC6FD748</vt:lpwstr>
  </property>
</Properties>
</file>